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0" w:beforeLines="300" w:after="720" w:afterLines="300"/>
        <w:jc w:val="center"/>
        <w:rPr>
          <w:rFonts w:hint="eastAsia" w:ascii="黑体" w:hAnsi="黑体" w:eastAsia="黑体"/>
          <w:color w:val="auto"/>
          <w:sz w:val="96"/>
          <w:szCs w:val="80"/>
          <w:highlight w:val="none"/>
        </w:rPr>
      </w:pPr>
      <w:r>
        <w:rPr>
          <w:rFonts w:hint="eastAsia" w:ascii="黑体" w:hAnsi="黑体" w:eastAsia="黑体"/>
          <w:color w:val="auto"/>
          <w:sz w:val="96"/>
          <w:szCs w:val="80"/>
          <w:highlight w:val="none"/>
        </w:rPr>
        <w:t>竞争性磋商</w:t>
      </w:r>
    </w:p>
    <w:p>
      <w:pPr>
        <w:spacing w:before="720" w:beforeLines="300" w:after="720" w:afterLines="300"/>
        <w:jc w:val="center"/>
        <w:rPr>
          <w:rFonts w:hint="eastAsia" w:ascii="黑体" w:hAnsi="黑体" w:eastAsia="黑体"/>
          <w:color w:val="auto"/>
          <w:sz w:val="96"/>
          <w:szCs w:val="80"/>
          <w:highlight w:val="none"/>
        </w:rPr>
      </w:pPr>
      <w:r>
        <w:rPr>
          <w:rFonts w:hint="eastAsia" w:ascii="黑体" w:hAnsi="黑体" w:eastAsia="黑体"/>
          <w:color w:val="auto"/>
          <w:sz w:val="96"/>
          <w:szCs w:val="80"/>
          <w:highlight w:val="none"/>
        </w:rPr>
        <w:t>采购文件</w:t>
      </w:r>
    </w:p>
    <w:p>
      <w:pPr>
        <w:adjustRightInd w:val="0"/>
        <w:snapToGrid w:val="0"/>
        <w:spacing w:line="360" w:lineRule="auto"/>
        <w:ind w:left="840" w:leftChars="400" w:right="840" w:rightChars="400"/>
        <w:rPr>
          <w:rFonts w:hint="eastAsia" w:ascii="宋体" w:hAnsi="宋体"/>
          <w:b/>
          <w:bCs/>
          <w:color w:val="auto"/>
          <w:kern w:val="13"/>
          <w:sz w:val="32"/>
          <w:highlight w:val="none"/>
        </w:rPr>
      </w:pPr>
    </w:p>
    <w:p>
      <w:pPr>
        <w:adjustRightInd w:val="0"/>
        <w:snapToGrid w:val="0"/>
        <w:spacing w:line="360" w:lineRule="auto"/>
        <w:ind w:left="840" w:leftChars="400" w:right="840" w:rightChars="400"/>
        <w:rPr>
          <w:rFonts w:hint="eastAsia" w:ascii="宋体" w:hAnsi="宋体" w:eastAsia="宋体"/>
          <w:b/>
          <w:bCs/>
          <w:color w:val="auto"/>
          <w:kern w:val="13"/>
          <w:sz w:val="32"/>
          <w:highlight w:val="none"/>
          <w:lang w:eastAsia="zh-CN"/>
        </w:rPr>
      </w:pPr>
      <w:r>
        <w:rPr>
          <w:rFonts w:hint="eastAsia" w:ascii="宋体" w:hAnsi="宋体"/>
          <w:b/>
          <w:bCs/>
          <w:color w:val="auto"/>
          <w:kern w:val="13"/>
          <w:sz w:val="32"/>
          <w:highlight w:val="none"/>
        </w:rPr>
        <w:t>采购人：</w:t>
      </w:r>
      <w:bookmarkStart w:id="0" w:name="OLE_LINK4"/>
      <w:r>
        <w:rPr>
          <w:rFonts w:hint="eastAsia" w:ascii="宋体" w:hAnsi="宋体"/>
          <w:b/>
          <w:bCs/>
          <w:color w:val="auto"/>
          <w:kern w:val="13"/>
          <w:sz w:val="32"/>
          <w:highlight w:val="none"/>
        </w:rPr>
        <w:tab/>
      </w:r>
      <w:bookmarkStart w:id="1" w:name="OLE_LINK12"/>
      <w:r>
        <w:rPr>
          <w:rFonts w:hint="eastAsia" w:ascii="宋体" w:hAnsi="宋体"/>
          <w:b/>
          <w:bCs/>
          <w:color w:val="auto"/>
          <w:kern w:val="13"/>
          <w:sz w:val="32"/>
          <w:highlight w:val="none"/>
          <w:lang w:eastAsia="zh-CN"/>
        </w:rPr>
        <w:t>广州市海珠区路联物业管理服务部</w:t>
      </w:r>
      <w:bookmarkEnd w:id="0"/>
      <w:bookmarkEnd w:id="1"/>
    </w:p>
    <w:p>
      <w:pPr>
        <w:adjustRightInd w:val="0"/>
        <w:snapToGrid w:val="0"/>
        <w:spacing w:line="360" w:lineRule="auto"/>
        <w:ind w:left="840" w:leftChars="400" w:right="840" w:rightChars="400"/>
        <w:rPr>
          <w:rFonts w:hint="eastAsia" w:ascii="宋体" w:hAnsi="宋体" w:eastAsia="宋体"/>
          <w:b/>
          <w:bCs/>
          <w:color w:val="auto"/>
          <w:kern w:val="13"/>
          <w:sz w:val="32"/>
          <w:highlight w:val="none"/>
          <w:lang w:eastAsia="zh-CN"/>
        </w:rPr>
      </w:pPr>
      <w:r>
        <w:rPr>
          <w:rFonts w:hint="eastAsia" w:ascii="宋体" w:hAnsi="宋体"/>
          <w:b/>
          <w:bCs/>
          <w:color w:val="auto"/>
          <w:kern w:val="13"/>
          <w:sz w:val="32"/>
          <w:highlight w:val="none"/>
        </w:rPr>
        <w:t>项目编号：</w:t>
      </w:r>
      <w:r>
        <w:rPr>
          <w:rFonts w:hint="eastAsia" w:ascii="宋体" w:hAnsi="宋体"/>
          <w:b/>
          <w:bCs/>
          <w:color w:val="auto"/>
          <w:kern w:val="13"/>
          <w:sz w:val="32"/>
          <w:highlight w:val="none"/>
          <w:lang w:eastAsia="zh-CN"/>
        </w:rPr>
        <w:t>GZOZ625DL1003268</w:t>
      </w:r>
      <w:r>
        <w:rPr>
          <w:rFonts w:hint="eastAsia" w:ascii="宋体" w:hAnsi="宋体"/>
          <w:b/>
          <w:bCs/>
          <w:color w:val="auto"/>
          <w:kern w:val="13"/>
          <w:sz w:val="32"/>
          <w:highlight w:val="none"/>
          <w:lang w:eastAsia="zh-CN"/>
        </w:rPr>
        <w:tab/>
      </w:r>
    </w:p>
    <w:p>
      <w:pPr>
        <w:adjustRightInd w:val="0"/>
        <w:snapToGrid w:val="0"/>
        <w:spacing w:line="360" w:lineRule="auto"/>
        <w:ind w:left="840" w:leftChars="400" w:right="840" w:rightChars="400"/>
        <w:rPr>
          <w:rFonts w:hint="eastAsia" w:ascii="宋体" w:hAnsi="宋体" w:eastAsia="宋体"/>
          <w:b/>
          <w:bCs/>
          <w:color w:val="auto"/>
          <w:kern w:val="13"/>
          <w:sz w:val="32"/>
          <w:highlight w:val="none"/>
          <w:lang w:eastAsia="zh-CN"/>
        </w:rPr>
      </w:pPr>
      <w:r>
        <w:rPr>
          <w:rFonts w:hint="eastAsia" w:ascii="宋体" w:hAnsi="宋体"/>
          <w:b/>
          <w:bCs/>
          <w:color w:val="auto"/>
          <w:kern w:val="13"/>
          <w:sz w:val="32"/>
          <w:highlight w:val="none"/>
        </w:rPr>
        <w:t>项目名称：</w:t>
      </w:r>
      <w:bookmarkStart w:id="2" w:name="OLE_LINK5"/>
      <w:r>
        <w:rPr>
          <w:rFonts w:hint="eastAsia" w:ascii="宋体" w:hAnsi="宋体"/>
          <w:b/>
          <w:bCs/>
          <w:color w:val="auto"/>
          <w:kern w:val="13"/>
          <w:sz w:val="32"/>
          <w:highlight w:val="none"/>
        </w:rPr>
        <w:tab/>
      </w:r>
      <w:r>
        <w:rPr>
          <w:rFonts w:hint="eastAsia" w:ascii="宋体" w:hAnsi="宋体"/>
          <w:b/>
          <w:bCs/>
          <w:color w:val="auto"/>
          <w:kern w:val="13"/>
          <w:sz w:val="32"/>
          <w:highlight w:val="none"/>
          <w:lang w:eastAsia="zh-CN"/>
        </w:rPr>
        <w:t>2025-2026年鹭江村排水设施清疏项目</w:t>
      </w:r>
      <w:bookmarkEnd w:id="2"/>
    </w:p>
    <w:p>
      <w:pPr>
        <w:spacing w:after="120"/>
        <w:ind w:firstLine="420"/>
        <w:rPr>
          <w:rFonts w:hint="eastAsia" w:ascii="黑体" w:hAnsi="黑体" w:eastAsia="黑体"/>
          <w:color w:val="auto"/>
          <w:szCs w:val="24"/>
          <w:highlight w:val="none"/>
        </w:rPr>
      </w:pPr>
    </w:p>
    <w:p>
      <w:pPr>
        <w:spacing w:after="120"/>
        <w:ind w:firstLine="420"/>
        <w:rPr>
          <w:rFonts w:hint="eastAsia" w:ascii="黑体" w:hAnsi="黑体" w:eastAsia="黑体"/>
          <w:color w:val="auto"/>
          <w:szCs w:val="24"/>
          <w:highlight w:val="none"/>
        </w:rPr>
      </w:pPr>
    </w:p>
    <w:p>
      <w:pPr>
        <w:spacing w:after="120"/>
        <w:ind w:firstLine="420"/>
        <w:rPr>
          <w:rFonts w:hint="eastAsia" w:ascii="黑体" w:hAnsi="黑体" w:eastAsia="黑体"/>
          <w:color w:val="auto"/>
          <w:szCs w:val="24"/>
          <w:highlight w:val="none"/>
        </w:rPr>
      </w:pPr>
    </w:p>
    <w:p>
      <w:pPr>
        <w:spacing w:after="120"/>
        <w:jc w:val="center"/>
        <w:rPr>
          <w:rFonts w:hint="eastAsia" w:ascii="黑体" w:hAnsi="黑体" w:eastAsia="黑体"/>
          <w:color w:val="auto"/>
          <w:szCs w:val="24"/>
          <w:highlight w:val="none"/>
        </w:rPr>
      </w:pPr>
    </w:p>
    <w:p>
      <w:pPr>
        <w:pStyle w:val="2"/>
        <w:rPr>
          <w:rFonts w:hint="eastAsia"/>
          <w:color w:val="auto"/>
          <w:highlight w:val="none"/>
        </w:rPr>
      </w:pPr>
    </w:p>
    <w:p>
      <w:pPr>
        <w:spacing w:after="120"/>
        <w:ind w:firstLine="420"/>
        <w:jc w:val="center"/>
        <w:rPr>
          <w:rFonts w:hint="eastAsia" w:ascii="黑体" w:hAnsi="黑体" w:eastAsia="黑体"/>
          <w:color w:val="auto"/>
          <w:szCs w:val="24"/>
          <w:highlight w:val="none"/>
        </w:rPr>
      </w:pPr>
    </w:p>
    <w:p>
      <w:pPr>
        <w:spacing w:after="120"/>
        <w:jc w:val="center"/>
        <w:rPr>
          <w:rFonts w:hint="eastAsia" w:ascii="黑体" w:hAnsi="黑体" w:eastAsia="黑体"/>
          <w:b/>
          <w:color w:val="auto"/>
          <w:sz w:val="36"/>
          <w:szCs w:val="24"/>
          <w:highlight w:val="none"/>
        </w:rPr>
      </w:pPr>
      <w:r>
        <w:rPr>
          <w:rFonts w:hint="eastAsia" w:ascii="黑体" w:hAnsi="黑体" w:eastAsia="黑体"/>
          <w:b/>
          <w:color w:val="auto"/>
          <w:sz w:val="36"/>
          <w:szCs w:val="24"/>
          <w:highlight w:val="none"/>
        </w:rPr>
        <w:t>广东省机电设备招标有限公司</w:t>
      </w:r>
    </w:p>
    <w:p>
      <w:pPr>
        <w:widowControl w:val="0"/>
        <w:autoSpaceDE w:val="0"/>
        <w:autoSpaceDN w:val="0"/>
        <w:adjustRightInd w:val="0"/>
        <w:spacing w:before="480" w:beforeLines="200" w:after="480" w:afterLines="200"/>
        <w:jc w:val="center"/>
        <w:rPr>
          <w:rFonts w:ascii="黑体" w:hAnsi="黑体" w:eastAsia="黑体"/>
          <w:b/>
          <w:color w:val="auto"/>
          <w:sz w:val="36"/>
          <w:highlight w:val="none"/>
        </w:rPr>
      </w:pPr>
      <w:r>
        <w:rPr>
          <w:rFonts w:hint="eastAsia" w:ascii="黑体" w:hAnsi="黑体" w:eastAsia="黑体"/>
          <w:b/>
          <w:color w:val="auto"/>
          <w:sz w:val="36"/>
          <w:highlight w:val="none"/>
        </w:rPr>
        <w:t>二O二</w:t>
      </w:r>
      <w:r>
        <w:rPr>
          <w:rFonts w:hint="eastAsia" w:ascii="黑体" w:hAnsi="黑体" w:eastAsia="黑体"/>
          <w:b/>
          <w:color w:val="auto"/>
          <w:sz w:val="36"/>
          <w:highlight w:val="none"/>
          <w:lang w:val="en-US" w:eastAsia="zh-CN"/>
        </w:rPr>
        <w:t>四</w:t>
      </w:r>
      <w:r>
        <w:rPr>
          <w:rFonts w:hint="eastAsia" w:ascii="黑体" w:hAnsi="黑体" w:eastAsia="黑体"/>
          <w:b/>
          <w:color w:val="auto"/>
          <w:sz w:val="36"/>
          <w:highlight w:val="none"/>
        </w:rPr>
        <w:t>年</w:t>
      </w:r>
      <w:r>
        <w:rPr>
          <w:rFonts w:hint="eastAsia" w:ascii="黑体" w:hAnsi="黑体" w:eastAsia="黑体"/>
          <w:b/>
          <w:color w:val="auto"/>
          <w:sz w:val="36"/>
          <w:highlight w:val="none"/>
          <w:lang w:val="en-US" w:eastAsia="zh-CN"/>
        </w:rPr>
        <w:t>五</w:t>
      </w:r>
      <w:r>
        <w:rPr>
          <w:rFonts w:hint="eastAsia" w:ascii="黑体" w:hAnsi="黑体" w:eastAsia="黑体"/>
          <w:b/>
          <w:color w:val="auto"/>
          <w:sz w:val="36"/>
          <w:highlight w:val="none"/>
        </w:rPr>
        <w:t>月</w:t>
      </w:r>
    </w:p>
    <w:p>
      <w:pPr>
        <w:widowControl w:val="0"/>
        <w:autoSpaceDE w:val="0"/>
        <w:autoSpaceDN w:val="0"/>
        <w:adjustRightInd w:val="0"/>
        <w:spacing w:before="480" w:beforeLines="200" w:after="480" w:afterLines="200"/>
        <w:jc w:val="center"/>
        <w:rPr>
          <w:rFonts w:ascii="黑体" w:hAnsi="黑体" w:eastAsia="黑体"/>
          <w:b/>
          <w:color w:val="auto"/>
          <w:sz w:val="36"/>
          <w:highlight w:val="none"/>
        </w:rPr>
        <w:sectPr>
          <w:headerReference r:id="rId3" w:type="first"/>
          <w:pgSz w:w="11905" w:h="16838"/>
          <w:pgMar w:top="1417" w:right="1417" w:bottom="1417" w:left="1417" w:header="850" w:footer="850" w:gutter="0"/>
          <w:cols w:space="720" w:num="1"/>
          <w:docGrid w:linePitch="312" w:charSpace="0"/>
        </w:sectPr>
      </w:pPr>
    </w:p>
    <w:p>
      <w:pPr>
        <w:adjustRightInd w:val="0"/>
        <w:snapToGrid w:val="0"/>
        <w:spacing w:line="360" w:lineRule="auto"/>
        <w:ind w:firstLine="723" w:firstLineChars="200"/>
        <w:jc w:val="center"/>
        <w:rPr>
          <w:rFonts w:ascii="宋体" w:hAnsi="宋体"/>
          <w:b/>
          <w:bCs/>
          <w:color w:val="auto"/>
          <w:kern w:val="13"/>
          <w:sz w:val="36"/>
          <w:szCs w:val="21"/>
          <w:highlight w:val="none"/>
        </w:rPr>
      </w:pPr>
    </w:p>
    <w:p>
      <w:pPr>
        <w:pStyle w:val="34"/>
        <w:tabs>
          <w:tab w:val="left" w:pos="3262"/>
          <w:tab w:val="center" w:pos="4535"/>
        </w:tabs>
        <w:spacing w:after="120"/>
        <w:rPr>
          <w:rFonts w:hint="eastAsia" w:hAnsi="宋体"/>
          <w:b/>
          <w:color w:val="auto"/>
          <w:sz w:val="28"/>
          <w:szCs w:val="28"/>
          <w:highlight w:val="none"/>
        </w:rPr>
      </w:pPr>
      <w:bookmarkStart w:id="3" w:name="_Toc175644811"/>
      <w:bookmarkStart w:id="4" w:name="_Toc134956025"/>
      <w:bookmarkStart w:id="5" w:name="_Toc118083894"/>
      <w:bookmarkStart w:id="6" w:name="_Toc134955399"/>
      <w:bookmarkStart w:id="7" w:name="_Toc134956113"/>
      <w:bookmarkStart w:id="8" w:name="_Toc98580272"/>
      <w:bookmarkStart w:id="9" w:name="_Toc98579589"/>
      <w:bookmarkStart w:id="10" w:name="_Toc127930770"/>
      <w:bookmarkStart w:id="11" w:name="_Toc98579048"/>
      <w:bookmarkStart w:id="12" w:name="_Toc98578990"/>
      <w:bookmarkStart w:id="13" w:name="_Toc175644383"/>
      <w:bookmarkStart w:id="14" w:name="_Toc175644436"/>
      <w:r>
        <w:rPr>
          <w:rFonts w:hint="eastAsia" w:hAnsi="宋体"/>
          <w:b/>
          <w:color w:val="auto"/>
          <w:sz w:val="28"/>
          <w:szCs w:val="28"/>
          <w:highlight w:val="none"/>
        </w:rPr>
        <w:t>目  录</w:t>
      </w:r>
      <w:bookmarkEnd w:id="3"/>
      <w:bookmarkEnd w:id="4"/>
      <w:bookmarkEnd w:id="5"/>
      <w:bookmarkEnd w:id="6"/>
      <w:bookmarkEnd w:id="7"/>
    </w:p>
    <w:p>
      <w:pPr>
        <w:pStyle w:val="34"/>
        <w:tabs>
          <w:tab w:val="right" w:leader="dot" w:pos="9070"/>
          <w:tab w:val="clear" w:pos="9402"/>
        </w:tabs>
        <w:rPr>
          <w:color w:val="auto"/>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TOC \o "1-2" \h \z \u </w:instrText>
      </w:r>
      <w:r>
        <w:rPr>
          <w:rFonts w:hAnsi="宋体"/>
          <w:b/>
          <w:color w:val="auto"/>
          <w:sz w:val="24"/>
          <w:szCs w:val="24"/>
          <w:highlight w:val="none"/>
        </w:rPr>
        <w:fldChar w:fldCharType="separate"/>
      </w:r>
      <w:r>
        <w:rPr>
          <w:rFonts w:hAnsi="宋体"/>
          <w:color w:val="auto"/>
          <w:szCs w:val="24"/>
          <w:highlight w:val="none"/>
        </w:rPr>
        <w:fldChar w:fldCharType="begin"/>
      </w:r>
      <w:r>
        <w:rPr>
          <w:rFonts w:hAnsi="宋体"/>
          <w:color w:val="auto"/>
          <w:szCs w:val="24"/>
          <w:highlight w:val="none"/>
        </w:rPr>
        <w:instrText xml:space="preserve"> HYPERLINK \l _Toc29823 </w:instrText>
      </w:r>
      <w:r>
        <w:rPr>
          <w:rFonts w:hAnsi="宋体"/>
          <w:color w:val="auto"/>
          <w:szCs w:val="24"/>
          <w:highlight w:val="none"/>
        </w:rPr>
        <w:fldChar w:fldCharType="separate"/>
      </w:r>
      <w:r>
        <w:rPr>
          <w:rFonts w:hint="eastAsia" w:hAnsi="宋体"/>
          <w:color w:val="auto"/>
          <w:szCs w:val="30"/>
          <w:highlight w:val="none"/>
        </w:rPr>
        <w:t>第一章 供应商邀请函</w:t>
      </w:r>
      <w:r>
        <w:rPr>
          <w:color w:val="auto"/>
          <w:highlight w:val="none"/>
        </w:rPr>
        <w:tab/>
      </w:r>
      <w:r>
        <w:rPr>
          <w:color w:val="auto"/>
          <w:highlight w:val="none"/>
        </w:rPr>
        <w:fldChar w:fldCharType="begin"/>
      </w:r>
      <w:r>
        <w:rPr>
          <w:color w:val="auto"/>
          <w:highlight w:val="none"/>
        </w:rPr>
        <w:instrText xml:space="preserve"> PAGEREF _Toc29823 </w:instrText>
      </w:r>
      <w:r>
        <w:rPr>
          <w:color w:val="auto"/>
          <w:highlight w:val="none"/>
        </w:rPr>
        <w:fldChar w:fldCharType="separate"/>
      </w:r>
      <w:r>
        <w:rPr>
          <w:color w:val="auto"/>
          <w:highlight w:val="none"/>
        </w:rPr>
        <w:t>3</w:t>
      </w:r>
      <w:r>
        <w:rPr>
          <w:color w:val="auto"/>
          <w:highlight w:val="none"/>
        </w:rPr>
        <w:fldChar w:fldCharType="end"/>
      </w:r>
      <w:r>
        <w:rPr>
          <w:rFonts w:hAnsi="宋体"/>
          <w:color w:val="auto"/>
          <w:szCs w:val="24"/>
          <w:highlight w:val="none"/>
        </w:rPr>
        <w:fldChar w:fldCharType="end"/>
      </w:r>
    </w:p>
    <w:p>
      <w:pPr>
        <w:pStyle w:val="34"/>
        <w:tabs>
          <w:tab w:val="right" w:leader="dot" w:pos="9070"/>
          <w:tab w:val="clear" w:pos="9402"/>
        </w:tabs>
        <w:rPr>
          <w:rFonts w:hint="eastAsia" w:hAnsi="宋体" w:cs="宋体"/>
          <w:color w:val="auto"/>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HYPERLINK \l _Toc30479 </w:instrText>
      </w:r>
      <w:r>
        <w:rPr>
          <w:rFonts w:hint="eastAsia" w:hAnsi="宋体" w:cs="宋体"/>
          <w:color w:val="auto"/>
          <w:szCs w:val="24"/>
          <w:highlight w:val="none"/>
        </w:rPr>
        <w:fldChar w:fldCharType="separate"/>
      </w:r>
      <w:r>
        <w:rPr>
          <w:rFonts w:hint="eastAsia" w:hAnsi="宋体" w:cs="宋体"/>
          <w:color w:val="auto"/>
          <w:szCs w:val="30"/>
          <w:highlight w:val="none"/>
        </w:rPr>
        <w:t>第二章 供应商须知</w:t>
      </w:r>
      <w:r>
        <w:rPr>
          <w:rFonts w:hint="eastAsia" w:hAnsi="宋体" w:cs="宋体"/>
          <w:color w:val="auto"/>
          <w:highlight w:val="none"/>
        </w:rPr>
        <w:tab/>
      </w:r>
      <w:r>
        <w:rPr>
          <w:rFonts w:hint="eastAsia" w:hAnsi="宋体" w:cs="宋体"/>
          <w:color w:val="auto"/>
          <w:highlight w:val="none"/>
        </w:rPr>
        <w:fldChar w:fldCharType="begin"/>
      </w:r>
      <w:r>
        <w:rPr>
          <w:rFonts w:hint="eastAsia" w:hAnsi="宋体" w:cs="宋体"/>
          <w:color w:val="auto"/>
          <w:highlight w:val="none"/>
        </w:rPr>
        <w:instrText xml:space="preserve"> PAGEREF _Toc30479 </w:instrText>
      </w:r>
      <w:r>
        <w:rPr>
          <w:rFonts w:hint="eastAsia" w:hAnsi="宋体" w:cs="宋体"/>
          <w:color w:val="auto"/>
          <w:highlight w:val="none"/>
        </w:rPr>
        <w:fldChar w:fldCharType="separate"/>
      </w:r>
      <w:r>
        <w:rPr>
          <w:rFonts w:hint="eastAsia" w:hAnsi="宋体" w:cs="宋体"/>
          <w:color w:val="auto"/>
          <w:highlight w:val="none"/>
        </w:rPr>
        <w:t>6</w:t>
      </w:r>
      <w:r>
        <w:rPr>
          <w:rFonts w:hint="eastAsia" w:hAnsi="宋体" w:cs="宋体"/>
          <w:color w:val="auto"/>
          <w:highlight w:val="none"/>
        </w:rPr>
        <w:fldChar w:fldCharType="end"/>
      </w:r>
      <w:r>
        <w:rPr>
          <w:rFonts w:hint="eastAsia"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_Toc13545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_Toc13545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_Toc29225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_Toc29225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34"/>
        <w:tabs>
          <w:tab w:val="right" w:leader="dot" w:pos="9070"/>
          <w:tab w:val="clear" w:pos="9402"/>
        </w:tabs>
        <w:rPr>
          <w:rFonts w:hint="eastAsia" w:hAnsi="宋体" w:cs="宋体"/>
          <w:color w:val="auto"/>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HYPERLINK \l _Toc16301 </w:instrText>
      </w:r>
      <w:r>
        <w:rPr>
          <w:rFonts w:hint="eastAsia" w:hAnsi="宋体" w:cs="宋体"/>
          <w:color w:val="auto"/>
          <w:szCs w:val="24"/>
          <w:highlight w:val="none"/>
        </w:rPr>
        <w:fldChar w:fldCharType="separate"/>
      </w:r>
      <w:r>
        <w:rPr>
          <w:rFonts w:hint="eastAsia" w:hAnsi="宋体" w:cs="宋体"/>
          <w:color w:val="auto"/>
          <w:szCs w:val="30"/>
          <w:highlight w:val="none"/>
        </w:rPr>
        <w:t>第三章 采购人需求</w:t>
      </w:r>
      <w:r>
        <w:rPr>
          <w:rFonts w:hint="eastAsia" w:hAnsi="宋体" w:cs="宋体"/>
          <w:color w:val="auto"/>
          <w:highlight w:val="none"/>
        </w:rPr>
        <w:tab/>
      </w:r>
      <w:r>
        <w:rPr>
          <w:rFonts w:hint="eastAsia" w:hAnsi="宋体" w:cs="宋体"/>
          <w:color w:val="auto"/>
          <w:highlight w:val="none"/>
        </w:rPr>
        <w:fldChar w:fldCharType="begin"/>
      </w:r>
      <w:r>
        <w:rPr>
          <w:rFonts w:hint="eastAsia" w:hAnsi="宋体" w:cs="宋体"/>
          <w:color w:val="auto"/>
          <w:highlight w:val="none"/>
        </w:rPr>
        <w:instrText xml:space="preserve"> PAGEREF _Toc16301 </w:instrText>
      </w:r>
      <w:r>
        <w:rPr>
          <w:rFonts w:hint="eastAsia" w:hAnsi="宋体" w:cs="宋体"/>
          <w:color w:val="auto"/>
          <w:highlight w:val="none"/>
        </w:rPr>
        <w:fldChar w:fldCharType="separate"/>
      </w:r>
      <w:r>
        <w:rPr>
          <w:rFonts w:hint="eastAsia" w:hAnsi="宋体" w:cs="宋体"/>
          <w:color w:val="auto"/>
          <w:highlight w:val="none"/>
        </w:rPr>
        <w:t>14</w:t>
      </w:r>
      <w:r>
        <w:rPr>
          <w:rFonts w:hint="eastAsia" w:hAnsi="宋体" w:cs="宋体"/>
          <w:color w:val="auto"/>
          <w:highlight w:val="none"/>
        </w:rPr>
        <w:fldChar w:fldCharType="end"/>
      </w:r>
      <w:r>
        <w:rPr>
          <w:rFonts w:hint="eastAsia" w:hAnsi="宋体" w:cs="宋体"/>
          <w:color w:val="auto"/>
          <w:szCs w:val="24"/>
          <w:highlight w:val="none"/>
        </w:rPr>
        <w:fldChar w:fldCharType="end"/>
      </w:r>
    </w:p>
    <w:p>
      <w:pPr>
        <w:pStyle w:val="34"/>
        <w:tabs>
          <w:tab w:val="right" w:leader="dot" w:pos="9070"/>
          <w:tab w:val="clear" w:pos="9402"/>
        </w:tabs>
        <w:rPr>
          <w:rFonts w:hint="eastAsia" w:hAnsi="宋体" w:cs="宋体"/>
          <w:color w:val="auto"/>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HYPERLINK \l _Toc11158 </w:instrText>
      </w:r>
      <w:r>
        <w:rPr>
          <w:rFonts w:hint="eastAsia" w:hAnsi="宋体" w:cs="宋体"/>
          <w:color w:val="auto"/>
          <w:szCs w:val="24"/>
          <w:highlight w:val="none"/>
        </w:rPr>
        <w:fldChar w:fldCharType="separate"/>
      </w:r>
      <w:r>
        <w:rPr>
          <w:rFonts w:hint="eastAsia" w:hAnsi="宋体" w:cs="宋体"/>
          <w:color w:val="auto"/>
          <w:szCs w:val="30"/>
          <w:highlight w:val="none"/>
        </w:rPr>
        <w:t>第四章 评审办法及程序</w:t>
      </w:r>
      <w:r>
        <w:rPr>
          <w:rFonts w:hint="eastAsia" w:hAnsi="宋体" w:cs="宋体"/>
          <w:color w:val="auto"/>
          <w:highlight w:val="none"/>
        </w:rPr>
        <w:tab/>
      </w:r>
      <w:r>
        <w:rPr>
          <w:rFonts w:hint="eastAsia" w:hAnsi="宋体" w:cs="宋体"/>
          <w:color w:val="auto"/>
          <w:highlight w:val="none"/>
        </w:rPr>
        <w:fldChar w:fldCharType="begin"/>
      </w:r>
      <w:r>
        <w:rPr>
          <w:rFonts w:hint="eastAsia" w:hAnsi="宋体" w:cs="宋体"/>
          <w:color w:val="auto"/>
          <w:highlight w:val="none"/>
        </w:rPr>
        <w:instrText xml:space="preserve"> PAGEREF _Toc11158 </w:instrText>
      </w:r>
      <w:r>
        <w:rPr>
          <w:rFonts w:hint="eastAsia" w:hAnsi="宋体" w:cs="宋体"/>
          <w:color w:val="auto"/>
          <w:highlight w:val="none"/>
        </w:rPr>
        <w:fldChar w:fldCharType="separate"/>
      </w:r>
      <w:r>
        <w:rPr>
          <w:rFonts w:hint="eastAsia" w:hAnsi="宋体" w:cs="宋体"/>
          <w:color w:val="auto"/>
          <w:highlight w:val="none"/>
        </w:rPr>
        <w:t>14</w:t>
      </w:r>
      <w:r>
        <w:rPr>
          <w:rFonts w:hint="eastAsia" w:hAnsi="宋体" w:cs="宋体"/>
          <w:color w:val="auto"/>
          <w:highlight w:val="none"/>
        </w:rPr>
        <w:fldChar w:fldCharType="end"/>
      </w:r>
      <w:r>
        <w:rPr>
          <w:rFonts w:hint="eastAsia" w:hAnsi="宋体" w:cs="宋体"/>
          <w:color w:val="auto"/>
          <w:szCs w:val="24"/>
          <w:highlight w:val="none"/>
        </w:rPr>
        <w:fldChar w:fldCharType="end"/>
      </w:r>
    </w:p>
    <w:p>
      <w:pPr>
        <w:pStyle w:val="34"/>
        <w:tabs>
          <w:tab w:val="right" w:leader="dot" w:pos="9070"/>
          <w:tab w:val="clear" w:pos="9402"/>
        </w:tabs>
        <w:rPr>
          <w:rFonts w:hint="eastAsia" w:hAnsi="宋体" w:cs="宋体"/>
          <w:color w:val="auto"/>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HYPERLINK \l _Toc26115 </w:instrText>
      </w:r>
      <w:r>
        <w:rPr>
          <w:rFonts w:hint="eastAsia" w:hAnsi="宋体" w:cs="宋体"/>
          <w:color w:val="auto"/>
          <w:szCs w:val="24"/>
          <w:highlight w:val="none"/>
        </w:rPr>
        <w:fldChar w:fldCharType="separate"/>
      </w:r>
      <w:r>
        <w:rPr>
          <w:rFonts w:hint="eastAsia" w:hAnsi="宋体" w:cs="宋体"/>
          <w:color w:val="auto"/>
          <w:szCs w:val="30"/>
          <w:highlight w:val="none"/>
        </w:rPr>
        <w:t>第五章 合同格式</w:t>
      </w:r>
      <w:r>
        <w:rPr>
          <w:rFonts w:hint="eastAsia" w:hAnsi="宋体" w:cs="宋体"/>
          <w:color w:val="auto"/>
          <w:highlight w:val="none"/>
        </w:rPr>
        <w:tab/>
      </w:r>
      <w:r>
        <w:rPr>
          <w:rFonts w:hint="eastAsia" w:hAnsi="宋体" w:cs="宋体"/>
          <w:color w:val="auto"/>
          <w:highlight w:val="none"/>
        </w:rPr>
        <w:fldChar w:fldCharType="begin"/>
      </w:r>
      <w:r>
        <w:rPr>
          <w:rFonts w:hint="eastAsia" w:hAnsi="宋体" w:cs="宋体"/>
          <w:color w:val="auto"/>
          <w:highlight w:val="none"/>
        </w:rPr>
        <w:instrText xml:space="preserve"> PAGEREF _Toc26115 </w:instrText>
      </w:r>
      <w:r>
        <w:rPr>
          <w:rFonts w:hint="eastAsia" w:hAnsi="宋体" w:cs="宋体"/>
          <w:color w:val="auto"/>
          <w:highlight w:val="none"/>
        </w:rPr>
        <w:fldChar w:fldCharType="separate"/>
      </w:r>
      <w:r>
        <w:rPr>
          <w:rFonts w:hint="eastAsia" w:hAnsi="宋体" w:cs="宋体"/>
          <w:color w:val="auto"/>
          <w:highlight w:val="none"/>
        </w:rPr>
        <w:t>24</w:t>
      </w:r>
      <w:r>
        <w:rPr>
          <w:rFonts w:hint="eastAsia" w:hAnsi="宋体" w:cs="宋体"/>
          <w:color w:val="auto"/>
          <w:highlight w:val="none"/>
        </w:rPr>
        <w:fldChar w:fldCharType="end"/>
      </w:r>
      <w:r>
        <w:rPr>
          <w:rFonts w:hint="eastAsia" w:hAnsi="宋体" w:cs="宋体"/>
          <w:color w:val="auto"/>
          <w:szCs w:val="24"/>
          <w:highlight w:val="none"/>
        </w:rPr>
        <w:fldChar w:fldCharType="end"/>
      </w:r>
    </w:p>
    <w:p>
      <w:pPr>
        <w:pStyle w:val="34"/>
        <w:tabs>
          <w:tab w:val="right" w:leader="dot" w:pos="9070"/>
          <w:tab w:val="clear" w:pos="9402"/>
        </w:tabs>
        <w:rPr>
          <w:rFonts w:hint="eastAsia" w:hAnsi="宋体" w:cs="宋体"/>
          <w:color w:val="auto"/>
          <w:highlight w:val="none"/>
        </w:rPr>
      </w:pPr>
      <w:r>
        <w:rPr>
          <w:rFonts w:hint="eastAsia" w:hAnsi="宋体" w:cs="宋体"/>
          <w:color w:val="auto"/>
          <w:szCs w:val="24"/>
          <w:highlight w:val="none"/>
        </w:rPr>
        <w:fldChar w:fldCharType="begin"/>
      </w:r>
      <w:r>
        <w:rPr>
          <w:rFonts w:hint="eastAsia" w:hAnsi="宋体" w:cs="宋体"/>
          <w:color w:val="auto"/>
          <w:szCs w:val="24"/>
          <w:highlight w:val="none"/>
        </w:rPr>
        <w:instrText xml:space="preserve"> HYPERLINK \l _Toc729 </w:instrText>
      </w:r>
      <w:r>
        <w:rPr>
          <w:rFonts w:hint="eastAsia" w:hAnsi="宋体" w:cs="宋体"/>
          <w:color w:val="auto"/>
          <w:szCs w:val="24"/>
          <w:highlight w:val="none"/>
        </w:rPr>
        <w:fldChar w:fldCharType="separate"/>
      </w:r>
      <w:r>
        <w:rPr>
          <w:rFonts w:hint="eastAsia" w:hAnsi="宋体" w:cs="宋体"/>
          <w:color w:val="auto"/>
          <w:szCs w:val="30"/>
          <w:highlight w:val="none"/>
        </w:rPr>
        <w:t>第六章 响应文件格式</w:t>
      </w:r>
      <w:r>
        <w:rPr>
          <w:rFonts w:hint="eastAsia" w:hAnsi="宋体" w:cs="宋体"/>
          <w:color w:val="auto"/>
          <w:highlight w:val="none"/>
        </w:rPr>
        <w:tab/>
      </w:r>
      <w:r>
        <w:rPr>
          <w:rFonts w:hint="eastAsia" w:hAnsi="宋体" w:cs="宋体"/>
          <w:color w:val="auto"/>
          <w:highlight w:val="none"/>
        </w:rPr>
        <w:fldChar w:fldCharType="begin"/>
      </w:r>
      <w:r>
        <w:rPr>
          <w:rFonts w:hint="eastAsia" w:hAnsi="宋体" w:cs="宋体"/>
          <w:color w:val="auto"/>
          <w:highlight w:val="none"/>
        </w:rPr>
        <w:instrText xml:space="preserve"> PAGEREF _Toc729 </w:instrText>
      </w:r>
      <w:r>
        <w:rPr>
          <w:rFonts w:hint="eastAsia" w:hAnsi="宋体" w:cs="宋体"/>
          <w:color w:val="auto"/>
          <w:highlight w:val="none"/>
        </w:rPr>
        <w:fldChar w:fldCharType="separate"/>
      </w:r>
      <w:r>
        <w:rPr>
          <w:rFonts w:hint="eastAsia" w:hAnsi="宋体" w:cs="宋体"/>
          <w:color w:val="auto"/>
          <w:highlight w:val="none"/>
        </w:rPr>
        <w:t>24</w:t>
      </w:r>
      <w:r>
        <w:rPr>
          <w:rFonts w:hint="eastAsia" w:hAnsi="宋体" w:cs="宋体"/>
          <w:color w:val="auto"/>
          <w:highlight w:val="none"/>
        </w:rPr>
        <w:fldChar w:fldCharType="end"/>
      </w:r>
      <w:r>
        <w:rPr>
          <w:rFonts w:hint="eastAsia"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_Toc23954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1.自查表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_Toc23954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_Toc3303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2.报价表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_Toc3303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_Toc1756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3.报价函</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_Toc1756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_Toc28114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4.资格证明文件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_Toc28114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_Toc13408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5.供应商同类项目经验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_Toc13408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_Toc16537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6.采购人需求偏离表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_Toc16537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_Toc17842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7.合同条款偏离表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_Toc17842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_Toc7368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8.技术方案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_Toc7368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_Toc31060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9. 供应商认为有必要说明的其他资料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_Toc31060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40"/>
        <w:tabs>
          <w:tab w:val="right" w:leader="dot" w:pos="9070"/>
          <w:tab w:val="clear" w:pos="9402"/>
        </w:tabs>
        <w:ind w:left="922" w:hanging="498"/>
        <w:rPr>
          <w:rFonts w:hint="eastAsia" w:ascii="宋体" w:hAnsi="宋体" w:cs="宋体"/>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_Toc5687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.公平竞争承诺书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_Toc5687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szCs w:val="24"/>
          <w:highlight w:val="none"/>
        </w:rPr>
        <w:fldChar w:fldCharType="end"/>
      </w:r>
    </w:p>
    <w:p>
      <w:pPr>
        <w:pStyle w:val="6"/>
        <w:spacing w:before="72" w:beforeLines="30" w:after="0" w:line="360" w:lineRule="auto"/>
        <w:jc w:val="center"/>
        <w:rPr>
          <w:rFonts w:hint="eastAsia" w:ascii="宋体" w:hAnsi="宋体"/>
          <w:color w:val="auto"/>
          <w:sz w:val="30"/>
          <w:szCs w:val="30"/>
          <w:highlight w:val="none"/>
        </w:rPr>
      </w:pPr>
      <w:r>
        <w:rPr>
          <w:rFonts w:ascii="宋体" w:hAnsi="宋体"/>
          <w:color w:val="auto"/>
          <w:szCs w:val="24"/>
          <w:highlight w:val="none"/>
        </w:rPr>
        <w:fldChar w:fldCharType="end"/>
      </w:r>
      <w:bookmarkStart w:id="15" w:name="_Toc29823"/>
      <w:r>
        <w:rPr>
          <w:rFonts w:ascii="宋体" w:hAnsi="宋体"/>
          <w:b w:val="0"/>
          <w:color w:val="auto"/>
          <w:sz w:val="24"/>
          <w:szCs w:val="24"/>
          <w:highlight w:val="none"/>
        </w:rPr>
        <w:br w:type="page"/>
      </w:r>
      <w:bookmarkEnd w:id="8"/>
      <w:bookmarkEnd w:id="9"/>
      <w:bookmarkEnd w:id="10"/>
      <w:bookmarkEnd w:id="11"/>
      <w:bookmarkEnd w:id="12"/>
      <w:bookmarkStart w:id="16" w:name="_Toc2074410"/>
      <w:bookmarkStart w:id="17" w:name="_Toc509392313"/>
      <w:r>
        <w:rPr>
          <w:rFonts w:hint="eastAsia" w:ascii="宋体" w:hAnsi="宋体"/>
          <w:color w:val="auto"/>
          <w:sz w:val="30"/>
          <w:szCs w:val="30"/>
          <w:highlight w:val="none"/>
        </w:rPr>
        <w:t>第一章 供应商邀请函</w:t>
      </w:r>
      <w:bookmarkEnd w:id="13"/>
      <w:bookmarkEnd w:id="14"/>
      <w:bookmarkEnd w:id="15"/>
      <w:bookmarkEnd w:id="16"/>
      <w:bookmarkEnd w:id="17"/>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广东省机电设备招标有限公司（以下简称“采购代理机构”）受</w:t>
      </w:r>
      <w:r>
        <w:rPr>
          <w:rFonts w:hint="eastAsia" w:ascii="宋体" w:hAnsi="宋体"/>
          <w:color w:val="auto"/>
          <w:szCs w:val="21"/>
          <w:highlight w:val="none"/>
          <w:lang w:eastAsia="zh-CN"/>
        </w:rPr>
        <w:t>广州市海珠区路联物业管理服务部</w:t>
      </w:r>
      <w:r>
        <w:rPr>
          <w:rFonts w:hint="eastAsia" w:ascii="宋体" w:hAnsi="宋体"/>
          <w:color w:val="auto"/>
          <w:szCs w:val="21"/>
          <w:highlight w:val="none"/>
        </w:rPr>
        <w:t>（以下简称“采购人”）的委托，就以下采购项目进行竞争性磋商</w:t>
      </w:r>
      <w:r>
        <w:rPr>
          <w:rFonts w:hint="eastAsia" w:ascii="宋体" w:hAnsi="宋体" w:cs="Arial"/>
          <w:color w:val="auto"/>
          <w:szCs w:val="21"/>
          <w:highlight w:val="none"/>
        </w:rPr>
        <w:t>，欢迎符合资格条件的供应商参加</w:t>
      </w:r>
      <w:r>
        <w:rPr>
          <w:rFonts w:hint="eastAsia" w:ascii="宋体" w:hAnsi="宋体"/>
          <w:color w:val="auto"/>
          <w:szCs w:val="21"/>
          <w:highlight w:val="none"/>
        </w:rPr>
        <w:t>。有关事项如下：</w:t>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bookmarkStart w:id="18" w:name="_Toc42313150"/>
      <w:bookmarkStart w:id="19" w:name="_Toc98035084"/>
      <w:bookmarkStart w:id="20" w:name="_Toc101775108"/>
      <w:bookmarkStart w:id="21" w:name="_Toc41884682"/>
      <w:bookmarkStart w:id="22" w:name="_Toc98580273"/>
      <w:bookmarkStart w:id="23" w:name="_Toc46308679"/>
      <w:bookmarkStart w:id="24" w:name="_Toc46308523"/>
      <w:bookmarkStart w:id="25" w:name="_Toc175644385"/>
      <w:bookmarkStart w:id="26" w:name="_Toc101771355"/>
      <w:bookmarkStart w:id="27" w:name="_Toc98579049"/>
      <w:bookmarkStart w:id="28" w:name="_Toc41723912"/>
      <w:bookmarkStart w:id="29" w:name="_Toc101951241"/>
      <w:bookmarkStart w:id="30" w:name="_Toc42394495"/>
      <w:bookmarkStart w:id="31" w:name="_Toc98579590"/>
      <w:bookmarkStart w:id="32" w:name="_Toc98578991"/>
      <w:bookmarkStart w:id="33" w:name="_Toc42394652"/>
      <w:bookmarkStart w:id="34" w:name="_Toc101843108"/>
      <w:r>
        <w:rPr>
          <w:rFonts w:hint="eastAsia" w:ascii="宋体" w:hAnsi="宋体"/>
          <w:b/>
          <w:color w:val="auto"/>
          <w:szCs w:val="21"/>
          <w:highlight w:val="none"/>
        </w:rPr>
        <w:t>项目编号：</w:t>
      </w:r>
      <w:r>
        <w:rPr>
          <w:rFonts w:hint="eastAsia" w:ascii="宋体" w:hAnsi="宋体"/>
          <w:b/>
          <w:color w:val="auto"/>
          <w:szCs w:val="21"/>
          <w:highlight w:val="none"/>
          <w:lang w:eastAsia="zh-CN"/>
        </w:rPr>
        <w:t>GZOZ625DL1003268</w:t>
      </w:r>
      <w:r>
        <w:rPr>
          <w:rFonts w:hint="eastAsia" w:ascii="宋体" w:hAnsi="宋体"/>
          <w:b/>
          <w:color w:val="auto"/>
          <w:szCs w:val="21"/>
          <w:highlight w:val="none"/>
          <w:lang w:eastAsia="zh-CN"/>
        </w:rPr>
        <w:tab/>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 xml:space="preserve">采购项目名称： </w:t>
      </w:r>
      <w:r>
        <w:rPr>
          <w:rFonts w:hint="eastAsia" w:ascii="宋体" w:hAnsi="宋体"/>
          <w:b/>
          <w:color w:val="auto"/>
          <w:szCs w:val="21"/>
          <w:highlight w:val="none"/>
          <w:lang w:eastAsia="zh-CN"/>
        </w:rPr>
        <w:t>2025-2026年鹭江村排水设施清疏项目</w:t>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采购项目预算金额（元）：</w:t>
      </w:r>
      <w:bookmarkStart w:id="35" w:name="OLE_LINK3"/>
      <w:r>
        <w:rPr>
          <w:rFonts w:hint="eastAsia" w:ascii="宋体" w:hAnsi="宋体"/>
          <w:b/>
          <w:color w:val="auto"/>
          <w:szCs w:val="21"/>
          <w:highlight w:val="none"/>
          <w:lang w:eastAsia="zh-CN"/>
        </w:rPr>
        <w:t>529852.65</w:t>
      </w:r>
      <w:bookmarkEnd w:id="35"/>
      <w:r>
        <w:rPr>
          <w:rFonts w:hint="eastAsia" w:ascii="宋体" w:hAnsi="宋体"/>
          <w:b/>
          <w:color w:val="auto"/>
          <w:szCs w:val="21"/>
          <w:highlight w:val="none"/>
        </w:rPr>
        <w:t xml:space="preserve">元                 </w:t>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 xml:space="preserve">采购数量：1项               </w:t>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采购项目内容及需求：</w:t>
      </w:r>
    </w:p>
    <w:p>
      <w:pPr>
        <w:autoSpaceDE w:val="0"/>
        <w:autoSpaceDN w:val="0"/>
        <w:spacing w:after="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本项目为</w:t>
      </w:r>
      <w:r>
        <w:rPr>
          <w:rFonts w:hint="eastAsia" w:ascii="宋体" w:hAnsi="宋体"/>
          <w:color w:val="auto"/>
          <w:szCs w:val="21"/>
          <w:highlight w:val="none"/>
          <w:lang w:eastAsia="zh-CN"/>
        </w:rPr>
        <w:t>本项目确定1家供应商负责</w:t>
      </w:r>
      <w:r>
        <w:rPr>
          <w:rFonts w:hint="eastAsia" w:ascii="宋体" w:hAnsi="宋体" w:eastAsia="宋体" w:cs="Times New Roman"/>
          <w:color w:val="auto"/>
          <w:szCs w:val="21"/>
          <w:highlight w:val="none"/>
          <w:lang w:eastAsia="zh-CN"/>
        </w:rPr>
        <w:t>2025-2026年鹭江村排水设施清疏项目，</w:t>
      </w:r>
      <w:r>
        <w:rPr>
          <w:rFonts w:hint="eastAsia" w:ascii="宋体" w:hAnsi="宋体" w:eastAsia="宋体" w:cs="Times New Roman"/>
          <w:color w:val="auto"/>
          <w:szCs w:val="21"/>
          <w:highlight w:val="none"/>
          <w:lang w:val="en-US" w:eastAsia="zh-CN"/>
        </w:rPr>
        <w:t>主要项目内容为：</w:t>
      </w:r>
      <w:r>
        <w:rPr>
          <w:rFonts w:hint="eastAsia"/>
          <w:color w:val="auto"/>
          <w:szCs w:val="21"/>
          <w:highlight w:val="none"/>
        </w:rPr>
        <w:t>凤阳街鹭江村定员三人每天清疏沙井及排水管，清疏范围</w:t>
      </w:r>
      <w:r>
        <w:rPr>
          <w:rFonts w:hint="eastAsia"/>
          <w:color w:val="auto"/>
          <w:szCs w:val="21"/>
          <w:highlight w:val="none"/>
          <w:lang w:val="en-US" w:eastAsia="zh-CN"/>
        </w:rPr>
        <w:t>为</w:t>
      </w:r>
      <w:r>
        <w:rPr>
          <w:rFonts w:hint="eastAsia"/>
          <w:color w:val="auto"/>
          <w:szCs w:val="21"/>
          <w:highlight w:val="none"/>
        </w:rPr>
        <w:t>鹭江村社辖区围内排水设施</w:t>
      </w:r>
      <w:r>
        <w:rPr>
          <w:rFonts w:hint="eastAsia"/>
          <w:color w:val="auto"/>
          <w:szCs w:val="21"/>
          <w:highlight w:val="none"/>
          <w:lang w:eastAsia="zh-CN"/>
        </w:rPr>
        <w:t>，</w:t>
      </w:r>
      <w:r>
        <w:rPr>
          <w:rFonts w:hint="eastAsia" w:ascii="宋体" w:hAnsi="宋体" w:eastAsia="宋体" w:cs="Times New Roman"/>
          <w:color w:val="auto"/>
          <w:szCs w:val="21"/>
          <w:highlight w:val="none"/>
          <w:lang w:eastAsia="zh-CN"/>
        </w:rPr>
        <w:t>具体内容详见采购文件第三章采购人需求</w:t>
      </w:r>
      <w:r>
        <w:rPr>
          <w:rFonts w:hint="eastAsia" w:ascii="宋体" w:hAnsi="宋体"/>
          <w:color w:val="auto"/>
          <w:szCs w:val="21"/>
          <w:highlight w:val="none"/>
          <w:lang w:eastAsia="zh-CN"/>
        </w:rPr>
        <w:t>。</w:t>
      </w:r>
    </w:p>
    <w:p>
      <w:pPr>
        <w:adjustRightInd w:val="0"/>
        <w:snapToGrid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olor w:val="auto"/>
          <w:szCs w:val="21"/>
          <w:highlight w:val="none"/>
        </w:rPr>
        <w:t>合同履行期限：详见</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文件第三章采购人需求</w:t>
      </w:r>
      <w:r>
        <w:rPr>
          <w:rFonts w:hint="eastAsia" w:ascii="宋体" w:hAnsi="宋体"/>
          <w:color w:val="auto"/>
          <w:szCs w:val="21"/>
          <w:highlight w:val="none"/>
          <w:lang w:eastAsia="zh-CN"/>
        </w:rPr>
        <w:t>。</w:t>
      </w:r>
    </w:p>
    <w:p>
      <w:pPr>
        <w:numPr>
          <w:ilvl w:val="0"/>
          <w:numId w:val="2"/>
        </w:numPr>
        <w:adjustRightInd w:val="0"/>
        <w:snapToGrid w:val="0"/>
        <w:spacing w:before="120" w:beforeLines="50" w:after="120" w:afterLines="50"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供应商资格要求</w:t>
      </w:r>
    </w:p>
    <w:p>
      <w:pPr>
        <w:adjustRightInd w:val="0"/>
        <w:snapToGrid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lang w:eastAsia="zh-CN"/>
        </w:rPr>
        <w:t>）在中华人民共和国境内注册的法人或其他组织或自然人， 投标（响应）时提交有效的营业执照（或事业法人登记证或身份证等相关证明） 副本</w:t>
      </w:r>
      <w:r>
        <w:rPr>
          <w:rFonts w:hint="eastAsia" w:ascii="宋体" w:hAnsi="宋体" w:eastAsia="宋体" w:cs="Times New Roman"/>
          <w:color w:val="auto"/>
          <w:szCs w:val="21"/>
          <w:highlight w:val="none"/>
          <w:lang w:val="en-US" w:eastAsia="zh-CN"/>
        </w:rPr>
        <w:t>扫描件</w:t>
      </w:r>
      <w:r>
        <w:rPr>
          <w:rFonts w:hint="eastAsia" w:ascii="宋体" w:hAnsi="宋体" w:eastAsia="宋体" w:cs="Times New Roman"/>
          <w:color w:val="auto"/>
          <w:szCs w:val="21"/>
          <w:highlight w:val="none"/>
          <w:lang w:eastAsia="zh-CN"/>
        </w:rPr>
        <w:t>。分支机构投标的，须提供总公司和分公司营业执照副本</w:t>
      </w:r>
      <w:r>
        <w:rPr>
          <w:rFonts w:hint="eastAsia" w:ascii="宋体" w:hAnsi="宋体" w:eastAsia="宋体" w:cs="Times New Roman"/>
          <w:color w:val="auto"/>
          <w:szCs w:val="21"/>
          <w:highlight w:val="none"/>
          <w:lang w:val="en-US" w:eastAsia="zh-CN"/>
        </w:rPr>
        <w:t>扫描件</w:t>
      </w:r>
      <w:r>
        <w:rPr>
          <w:rFonts w:hint="eastAsia" w:ascii="宋体" w:hAnsi="宋体" w:eastAsia="宋体" w:cs="Times New Roman"/>
          <w:color w:val="auto"/>
          <w:szCs w:val="21"/>
          <w:highlight w:val="none"/>
          <w:lang w:eastAsia="zh-CN"/>
        </w:rPr>
        <w:t>，总公司出具给分支机构的授权书</w:t>
      </w:r>
      <w:r>
        <w:rPr>
          <w:rFonts w:hint="eastAsia" w:ascii="宋体" w:hAnsi="宋体" w:eastAsia="宋体" w:cs="Times New Roman"/>
          <w:color w:val="auto"/>
          <w:szCs w:val="21"/>
          <w:highlight w:val="none"/>
          <w:lang w:val="en-US" w:eastAsia="zh-CN"/>
        </w:rPr>
        <w:t>扫描件</w:t>
      </w:r>
      <w:r>
        <w:rPr>
          <w:rFonts w:hint="eastAsia" w:ascii="宋体" w:hAnsi="宋体" w:eastAsia="宋体" w:cs="Times New Roman"/>
          <w:color w:val="auto"/>
          <w:szCs w:val="21"/>
          <w:highlight w:val="none"/>
          <w:lang w:eastAsia="zh-CN"/>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如相关失信记录已失效，供应商需提供相关证明资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三</w:t>
      </w:r>
      <w:r>
        <w:rPr>
          <w:rFonts w:hint="eastAsia" w:ascii="宋体" w:hAnsi="宋体"/>
          <w:color w:val="auto"/>
          <w:szCs w:val="21"/>
          <w:highlight w:val="none"/>
          <w:lang w:eastAsia="zh-CN"/>
        </w:rPr>
        <w:t>）</w:t>
      </w:r>
      <w:r>
        <w:rPr>
          <w:rFonts w:hint="eastAsia" w:ascii="宋体" w:hAnsi="宋体"/>
          <w:color w:val="auto"/>
          <w:szCs w:val="21"/>
          <w:highlight w:val="none"/>
        </w:rPr>
        <w:t>单位负责人为同一人或者存在直接控股、 管理关系的不同供应商，不得同时参加本采购项目（或采购包）投标（响应）。为本项目提供整体设计、规范编制或者项目管理、监理、检测等服务的供应商，不得再参与本项目投标（响应）（提供《报价函》）。</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lang w:eastAsia="zh-CN"/>
        </w:rPr>
        <w:t>本项目不接受联合体响应报价</w:t>
      </w:r>
      <w:r>
        <w:rPr>
          <w:rFonts w:hint="eastAsia" w:ascii="宋体" w:hAnsi="宋体"/>
          <w:color w:val="auto"/>
          <w:szCs w:val="21"/>
          <w:highlight w:val="none"/>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五</w:t>
      </w:r>
      <w:r>
        <w:rPr>
          <w:rFonts w:hint="eastAsia" w:ascii="宋体" w:hAnsi="宋体"/>
          <w:color w:val="auto"/>
          <w:szCs w:val="21"/>
          <w:highlight w:val="none"/>
          <w:lang w:eastAsia="zh-CN"/>
        </w:rPr>
        <w:t>）</w:t>
      </w:r>
      <w:r>
        <w:rPr>
          <w:rFonts w:hint="eastAsia" w:ascii="宋体" w:hAnsi="宋体"/>
          <w:color w:val="auto"/>
          <w:szCs w:val="21"/>
          <w:highlight w:val="none"/>
        </w:rPr>
        <w:t>已获取本项目采购文件。</w:t>
      </w:r>
    </w:p>
    <w:p>
      <w:pPr>
        <w:numPr>
          <w:ilvl w:val="0"/>
          <w:numId w:val="2"/>
        </w:numPr>
        <w:adjustRightInd w:val="0"/>
        <w:snapToGrid w:val="0"/>
        <w:spacing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获取采购文件的时间、地点、方式及采购文件售价</w:t>
      </w:r>
    </w:p>
    <w:p>
      <w:pPr>
        <w:numPr>
          <w:ilvl w:val="1"/>
          <w:numId w:val="2"/>
        </w:numPr>
        <w:adjustRightInd w:val="0"/>
        <w:snapToGrid w:val="0"/>
        <w:spacing w:line="360" w:lineRule="auto"/>
        <w:ind w:left="0" w:firstLine="422"/>
        <w:jc w:val="both"/>
        <w:rPr>
          <w:rFonts w:ascii="宋体" w:hAnsi="宋体"/>
          <w:color w:val="auto"/>
          <w:szCs w:val="21"/>
          <w:highlight w:val="none"/>
        </w:rPr>
      </w:pPr>
      <w:r>
        <w:rPr>
          <w:rFonts w:hint="eastAsia" w:ascii="宋体" w:hAnsi="宋体"/>
          <w:b/>
          <w:color w:val="auto"/>
          <w:szCs w:val="21"/>
          <w:highlight w:val="none"/>
        </w:rPr>
        <w:t>获取采购文件时间：</w:t>
      </w: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日上午</w:t>
      </w:r>
      <w:r>
        <w:rPr>
          <w:rFonts w:ascii="宋体" w:hAnsi="宋体"/>
          <w:color w:val="auto"/>
          <w:szCs w:val="21"/>
          <w:highlight w:val="none"/>
        </w:rPr>
        <w:t>9:00</w:t>
      </w:r>
      <w:r>
        <w:rPr>
          <w:rFonts w:hint="eastAsia" w:ascii="宋体" w:hAnsi="宋体"/>
          <w:color w:val="auto"/>
          <w:szCs w:val="21"/>
          <w:highlight w:val="none"/>
        </w:rPr>
        <w:t>至</w:t>
      </w: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日下午17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0(</w:t>
      </w:r>
      <w:r>
        <w:rPr>
          <w:rFonts w:hint="eastAsia" w:ascii="宋体" w:hAnsi="宋体"/>
          <w:color w:val="auto"/>
          <w:szCs w:val="21"/>
          <w:highlight w:val="none"/>
        </w:rPr>
        <w:t>北京时间，节假日除外</w:t>
      </w:r>
      <w:r>
        <w:rPr>
          <w:rFonts w:ascii="宋体" w:hAnsi="宋体"/>
          <w:color w:val="auto"/>
          <w:szCs w:val="21"/>
          <w:highlight w:val="none"/>
        </w:rPr>
        <w:t>)</w:t>
      </w:r>
      <w:r>
        <w:rPr>
          <w:rFonts w:hint="eastAsia" w:ascii="宋体" w:hAnsi="宋体"/>
          <w:color w:val="auto"/>
          <w:szCs w:val="21"/>
          <w:highlight w:val="none"/>
        </w:rPr>
        <w:t>。</w:t>
      </w:r>
    </w:p>
    <w:p>
      <w:pPr>
        <w:numPr>
          <w:ilvl w:val="1"/>
          <w:numId w:val="2"/>
        </w:numPr>
        <w:adjustRightInd w:val="0"/>
        <w:snapToGrid w:val="0"/>
        <w:spacing w:line="360" w:lineRule="auto"/>
        <w:ind w:left="0" w:firstLine="422"/>
        <w:jc w:val="both"/>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报名及获取</w:t>
      </w:r>
      <w:r>
        <w:rPr>
          <w:rFonts w:hint="eastAsia" w:ascii="宋体" w:hAnsi="宋体" w:eastAsia="宋体" w:cs="Times New Roman"/>
          <w:b/>
          <w:color w:val="auto"/>
          <w:szCs w:val="21"/>
          <w:highlight w:val="none"/>
          <w:lang w:eastAsia="zh-CN"/>
        </w:rPr>
        <w:t>采购文件</w:t>
      </w:r>
      <w:r>
        <w:rPr>
          <w:rFonts w:hint="eastAsia" w:ascii="宋体" w:hAnsi="宋体" w:eastAsia="宋体" w:cs="Times New Roman"/>
          <w:b/>
          <w:color w:val="auto"/>
          <w:szCs w:val="21"/>
          <w:highlight w:val="none"/>
        </w:rPr>
        <w:t>方式</w:t>
      </w:r>
    </w:p>
    <w:p>
      <w:pPr>
        <w:numPr>
          <w:ilvl w:val="0"/>
          <w:numId w:val="0"/>
        </w:numPr>
        <w:adjustRightInd w:val="0"/>
        <w:snapToGrid w:val="0"/>
        <w:spacing w:line="360" w:lineRule="auto"/>
        <w:ind w:left="420" w:leftChars="0"/>
        <w:jc w:val="both"/>
        <w:rPr>
          <w:rFonts w:hint="eastAsia" w:ascii="宋体" w:hAnsi="宋体"/>
          <w:color w:val="auto"/>
          <w:szCs w:val="21"/>
          <w:highlight w:val="none"/>
        </w:rPr>
      </w:pPr>
      <w:r>
        <w:rPr>
          <w:rFonts w:hint="eastAsia" w:ascii="宋体" w:hAnsi="宋体"/>
          <w:color w:val="auto"/>
          <w:szCs w:val="21"/>
          <w:highlight w:val="none"/>
        </w:rPr>
        <w:t>1、本项目采用网上注册登记。</w:t>
      </w:r>
      <w:r>
        <w:rPr>
          <w:rFonts w:hint="eastAsia" w:ascii="宋体" w:hAnsi="宋体"/>
          <w:color w:val="auto"/>
          <w:szCs w:val="21"/>
          <w:highlight w:val="none"/>
          <w:lang w:eastAsia="zh-CN"/>
        </w:rPr>
        <w:t>供应商</w:t>
      </w:r>
      <w:r>
        <w:rPr>
          <w:rFonts w:hint="eastAsia" w:ascii="宋体" w:hAnsi="宋体"/>
          <w:color w:val="auto"/>
          <w:szCs w:val="21"/>
          <w:highlight w:val="none"/>
        </w:rPr>
        <w:t>在购买采购文件之前，须在广州农村阳光招采平台注册企业账号并根据平台提示完善企业信息。</w:t>
      </w:r>
    </w:p>
    <w:p>
      <w:pPr>
        <w:numPr>
          <w:ilvl w:val="0"/>
          <w:numId w:val="0"/>
        </w:numPr>
        <w:adjustRightInd w:val="0"/>
        <w:snapToGrid w:val="0"/>
        <w:spacing w:line="360" w:lineRule="auto"/>
        <w:ind w:left="420" w:leftChars="0"/>
        <w:jc w:val="both"/>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办理报名手续时，须上传下列相关资料扫描件，并由原件持有方签字、盖公章，标注“此件与原件相符”字样:</w:t>
      </w:r>
    </w:p>
    <w:p>
      <w:pPr>
        <w:numPr>
          <w:ilvl w:val="0"/>
          <w:numId w:val="0"/>
        </w:numPr>
        <w:adjustRightInd w:val="0"/>
        <w:snapToGrid w:val="0"/>
        <w:spacing w:line="360" w:lineRule="auto"/>
        <w:ind w:left="420" w:leftChars="0"/>
        <w:jc w:val="both"/>
        <w:rPr>
          <w:rFonts w:hint="eastAsia" w:ascii="宋体" w:hAnsi="宋体"/>
          <w:color w:val="auto"/>
          <w:szCs w:val="21"/>
          <w:highlight w:val="none"/>
        </w:rPr>
      </w:pPr>
      <w:r>
        <w:rPr>
          <w:rFonts w:hint="eastAsia" w:ascii="宋体" w:hAnsi="宋体"/>
          <w:color w:val="auto"/>
          <w:szCs w:val="21"/>
          <w:highlight w:val="none"/>
        </w:rPr>
        <w:t>（1）营业执照、组织机构代码证、税务登记证的复印件（已实行“三证合一”的单位，只须提供新版营业执照即可）。</w:t>
      </w:r>
    </w:p>
    <w:p>
      <w:pPr>
        <w:numPr>
          <w:ilvl w:val="0"/>
          <w:numId w:val="0"/>
        </w:numPr>
        <w:adjustRightInd w:val="0"/>
        <w:snapToGrid w:val="0"/>
        <w:spacing w:line="360" w:lineRule="auto"/>
        <w:ind w:left="420" w:leftChars="0"/>
        <w:jc w:val="both"/>
        <w:rPr>
          <w:rFonts w:ascii="宋体" w:hAnsi="宋体" w:cs="Arial"/>
          <w:color w:val="auto"/>
          <w:szCs w:val="21"/>
          <w:highlight w:val="none"/>
        </w:rPr>
      </w:pPr>
      <w:r>
        <w:rPr>
          <w:rFonts w:hint="eastAsia" w:ascii="宋体" w:hAnsi="宋体"/>
          <w:color w:val="auto"/>
          <w:szCs w:val="21"/>
          <w:highlight w:val="none"/>
        </w:rPr>
        <w:t>（2）法定代表人身份证明书、授权委托书原件；法定代表人身份证、受托人身份证复印件（在委托代理情况下）。</w:t>
      </w:r>
    </w:p>
    <w:p>
      <w:pPr>
        <w:numPr>
          <w:ilvl w:val="0"/>
          <w:numId w:val="2"/>
        </w:numPr>
        <w:adjustRightInd w:val="0"/>
        <w:snapToGrid w:val="0"/>
        <w:spacing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提交响应文件时间、截止时间及磋商时间、 磋商地点</w:t>
      </w:r>
    </w:p>
    <w:p>
      <w:pPr>
        <w:numPr>
          <w:ilvl w:val="0"/>
          <w:numId w:val="0"/>
        </w:numPr>
        <w:adjustRightInd w:val="0"/>
        <w:snapToGrid w:val="0"/>
        <w:spacing w:line="360" w:lineRule="auto"/>
        <w:ind w:left="420" w:leftChars="0"/>
        <w:jc w:val="both"/>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r>
        <w:rPr>
          <w:rFonts w:hint="eastAsia" w:ascii="宋体" w:hAnsi="宋体"/>
          <w:color w:val="auto"/>
          <w:szCs w:val="21"/>
          <w:highlight w:val="none"/>
        </w:rPr>
        <w:t>提交</w:t>
      </w:r>
      <w:r>
        <w:rPr>
          <w:rFonts w:hint="eastAsia" w:ascii="宋体" w:hAnsi="宋体"/>
          <w:color w:val="auto"/>
          <w:szCs w:val="21"/>
          <w:highlight w:val="none"/>
          <w:lang w:eastAsia="zh-CN"/>
        </w:rPr>
        <w:t>响应文件</w:t>
      </w:r>
      <w:r>
        <w:rPr>
          <w:rFonts w:hint="eastAsia" w:ascii="宋体" w:hAnsi="宋体"/>
          <w:color w:val="auto"/>
          <w:szCs w:val="21"/>
          <w:highlight w:val="none"/>
        </w:rPr>
        <w:t>截止时间和开标时间：20</w:t>
      </w:r>
      <w:r>
        <w:rPr>
          <w:rFonts w:hint="eastAsia" w:ascii="宋体" w:hAnsi="宋体"/>
          <w:color w:val="auto"/>
          <w:szCs w:val="21"/>
          <w:highlight w:val="none"/>
          <w:lang w:val="en-US" w:eastAsia="zh-CN"/>
        </w:rPr>
        <w:t>25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:00。</w:t>
      </w:r>
    </w:p>
    <w:p>
      <w:pPr>
        <w:numPr>
          <w:ilvl w:val="0"/>
          <w:numId w:val="0"/>
        </w:numPr>
        <w:adjustRightInd w:val="0"/>
        <w:snapToGrid w:val="0"/>
        <w:spacing w:line="360" w:lineRule="auto"/>
        <w:ind w:left="420" w:leftChars="0"/>
        <w:jc w:val="both"/>
        <w:rPr>
          <w:rFonts w:hint="eastAsia" w:ascii="宋体" w:hAnsi="宋体"/>
          <w:color w:val="auto"/>
          <w:szCs w:val="21"/>
          <w:highlight w:val="none"/>
          <w:lang w:eastAsia="zh-CN"/>
        </w:rPr>
      </w:pPr>
      <w:r>
        <w:rPr>
          <w:rFonts w:hint="eastAsia" w:ascii="宋体" w:hAnsi="宋体"/>
          <w:color w:val="auto"/>
          <w:szCs w:val="21"/>
          <w:highlight w:val="none"/>
          <w:lang w:eastAsia="zh-CN"/>
        </w:rPr>
        <w:t>（二）提交响应文件的方式：在</w:t>
      </w:r>
      <w:r>
        <w:rPr>
          <w:rFonts w:hint="eastAsia" w:ascii="宋体" w:hAnsi="宋体"/>
          <w:color w:val="auto"/>
          <w:szCs w:val="21"/>
          <w:highlight w:val="none"/>
          <w:lang w:val="en-US" w:eastAsia="zh-CN"/>
        </w:rPr>
        <w:t>广州农村阳光招采平台</w:t>
      </w:r>
      <w:r>
        <w:rPr>
          <w:rFonts w:hint="eastAsia" w:ascii="宋体" w:hAnsi="宋体"/>
          <w:color w:val="auto"/>
          <w:szCs w:val="21"/>
          <w:highlight w:val="none"/>
          <w:lang w:eastAsia="zh-CN"/>
        </w:rPr>
        <w:t>上传电子响应文件。</w:t>
      </w:r>
    </w:p>
    <w:p>
      <w:pPr>
        <w:numPr>
          <w:ilvl w:val="0"/>
          <w:numId w:val="0"/>
        </w:numPr>
        <w:adjustRightInd w:val="0"/>
        <w:snapToGrid w:val="0"/>
        <w:spacing w:line="360" w:lineRule="auto"/>
        <w:ind w:left="420" w:leftChars="0"/>
        <w:jc w:val="both"/>
        <w:rPr>
          <w:rFonts w:hint="eastAsia"/>
          <w:color w:val="auto"/>
          <w:highlight w:val="none"/>
          <w:lang w:eastAsia="zh-CN"/>
        </w:rPr>
      </w:pPr>
      <w:r>
        <w:rPr>
          <w:rFonts w:hint="eastAsia" w:ascii="宋体" w:hAnsi="宋体" w:eastAsia="宋体" w:cs="Times New Roman"/>
          <w:color w:val="auto"/>
          <w:szCs w:val="21"/>
          <w:highlight w:val="none"/>
          <w:lang w:eastAsia="zh-CN"/>
        </w:rPr>
        <w:t>（三）响应文件解密时间：20</w:t>
      </w:r>
      <w:r>
        <w:rPr>
          <w:rFonts w:hint="eastAsia" w:ascii="宋体" w:hAnsi="宋体" w:cs="Times New Roman"/>
          <w:color w:val="auto"/>
          <w:szCs w:val="21"/>
          <w:highlight w:val="none"/>
          <w:lang w:val="en-US" w:eastAsia="zh-CN"/>
        </w:rPr>
        <w:t>25</w:t>
      </w:r>
      <w:r>
        <w:rPr>
          <w:rFonts w:hint="eastAsia" w:ascii="宋体" w:hAnsi="宋体" w:eastAsia="宋体" w:cs="Times New Roman"/>
          <w:color w:val="auto"/>
          <w:szCs w:val="21"/>
          <w:highlight w:val="none"/>
          <w:lang w:eastAsia="zh-CN"/>
        </w:rPr>
        <w:t>年</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日</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:00至20</w:t>
      </w:r>
      <w:r>
        <w:rPr>
          <w:rFonts w:hint="eastAsia" w:ascii="宋体" w:hAnsi="宋体" w:cs="Times New Roman"/>
          <w:color w:val="auto"/>
          <w:szCs w:val="21"/>
          <w:highlight w:val="none"/>
          <w:lang w:val="en-US" w:eastAsia="zh-CN"/>
        </w:rPr>
        <w:t>25</w:t>
      </w:r>
      <w:r>
        <w:rPr>
          <w:rFonts w:hint="eastAsia" w:ascii="宋体" w:hAnsi="宋体" w:eastAsia="宋体" w:cs="Times New Roman"/>
          <w:color w:val="auto"/>
          <w:szCs w:val="21"/>
          <w:highlight w:val="none"/>
          <w:lang w:eastAsia="zh-CN"/>
        </w:rPr>
        <w:t>年</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日</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eastAsia="zh-CN"/>
        </w:rPr>
        <w:t>:00（</w:t>
      </w:r>
      <w:r>
        <w:rPr>
          <w:rFonts w:hint="eastAsia" w:ascii="宋体" w:hAnsi="宋体" w:eastAsia="宋体" w:cs="Times New Roman"/>
          <w:color w:val="auto"/>
          <w:szCs w:val="21"/>
          <w:highlight w:val="none"/>
          <w:lang w:val="en-US" w:eastAsia="zh-CN"/>
        </w:rPr>
        <w:t>1个小时</w:t>
      </w:r>
      <w:r>
        <w:rPr>
          <w:rFonts w:hint="eastAsia" w:ascii="宋体" w:hAnsi="宋体" w:eastAsia="宋体" w:cs="Times New Roman"/>
          <w:color w:val="auto"/>
          <w:szCs w:val="21"/>
          <w:highlight w:val="none"/>
          <w:lang w:eastAsia="zh-CN"/>
        </w:rPr>
        <w:t>）。</w:t>
      </w:r>
    </w:p>
    <w:p>
      <w:pPr>
        <w:numPr>
          <w:ilvl w:val="0"/>
          <w:numId w:val="0"/>
        </w:numPr>
        <w:adjustRightInd w:val="0"/>
        <w:snapToGrid w:val="0"/>
        <w:spacing w:line="360" w:lineRule="auto"/>
        <w:ind w:left="420" w:leftChars="0"/>
        <w:jc w:val="both"/>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磋商时间：</w:t>
      </w: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日上午</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p>
    <w:p>
      <w:pPr>
        <w:numPr>
          <w:ilvl w:val="0"/>
          <w:numId w:val="0"/>
        </w:numPr>
        <w:adjustRightInd w:val="0"/>
        <w:snapToGrid w:val="0"/>
        <w:spacing w:line="360" w:lineRule="auto"/>
        <w:ind w:left="420" w:leftChars="0"/>
        <w:jc w:val="both"/>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五</w:t>
      </w:r>
      <w:r>
        <w:rPr>
          <w:rFonts w:hint="eastAsia" w:ascii="宋体" w:hAnsi="宋体"/>
          <w:color w:val="auto"/>
          <w:szCs w:val="21"/>
          <w:highlight w:val="none"/>
          <w:lang w:eastAsia="zh-CN"/>
        </w:rPr>
        <w:t>）</w:t>
      </w:r>
      <w:r>
        <w:rPr>
          <w:rFonts w:hint="eastAsia" w:ascii="宋体" w:hAnsi="宋体"/>
          <w:color w:val="auto"/>
          <w:szCs w:val="21"/>
          <w:highlight w:val="none"/>
        </w:rPr>
        <w:t>磋商地点：广州农村产权交易所有限公司（广州市越秀区流花路123号广州越秀国际会议中心北塔</w:t>
      </w:r>
      <w:r>
        <w:rPr>
          <w:rFonts w:hint="eastAsia" w:ascii="宋体" w:hAnsi="宋体"/>
          <w:color w:val="auto"/>
          <w:szCs w:val="21"/>
          <w:highlight w:val="none"/>
          <w:lang w:eastAsia="zh-CN"/>
        </w:rPr>
        <w:t>8楼</w:t>
      </w:r>
      <w:r>
        <w:rPr>
          <w:rFonts w:hint="eastAsia" w:ascii="宋体" w:hAnsi="宋体"/>
          <w:color w:val="auto"/>
          <w:szCs w:val="21"/>
          <w:highlight w:val="none"/>
        </w:rPr>
        <w:t>）。</w:t>
      </w:r>
    </w:p>
    <w:p>
      <w:pPr>
        <w:numPr>
          <w:ilvl w:val="0"/>
          <w:numId w:val="2"/>
        </w:numPr>
        <w:adjustRightInd w:val="0"/>
        <w:snapToGrid w:val="0"/>
        <w:spacing w:line="360" w:lineRule="auto"/>
        <w:ind w:left="-2" w:leftChars="0" w:firstLine="422" w:firstLineChars="0"/>
        <w:jc w:val="both"/>
        <w:rPr>
          <w:rFonts w:hint="eastAsia" w:ascii="宋体" w:hAnsi="宋体" w:eastAsia="宋体" w:cs="Times New Roman"/>
          <w:b/>
          <w:color w:val="auto"/>
          <w:szCs w:val="21"/>
          <w:highlight w:val="none"/>
          <w:lang w:eastAsia="zh-CN"/>
        </w:rPr>
      </w:pPr>
      <w:bookmarkStart w:id="36" w:name="OLE_LINK1"/>
      <w:r>
        <w:rPr>
          <w:rFonts w:hint="eastAsia" w:ascii="宋体" w:hAnsi="宋体" w:eastAsia="宋体" w:cs="Times New Roman"/>
          <w:b/>
          <w:color w:val="auto"/>
          <w:szCs w:val="21"/>
          <w:highlight w:val="none"/>
          <w:lang w:eastAsia="zh-CN"/>
        </w:rPr>
        <w:t>投标</w:t>
      </w:r>
      <w:bookmarkEnd w:id="36"/>
      <w:r>
        <w:rPr>
          <w:rFonts w:hint="eastAsia" w:ascii="宋体" w:hAnsi="宋体" w:eastAsia="宋体" w:cs="Times New Roman"/>
          <w:b/>
          <w:color w:val="auto"/>
          <w:szCs w:val="21"/>
          <w:highlight w:val="none"/>
          <w:lang w:eastAsia="zh-CN"/>
        </w:rPr>
        <w:t>保证金金额</w:t>
      </w:r>
      <w:bookmarkStart w:id="37" w:name="_Hlk22820096"/>
      <w:r>
        <w:rPr>
          <w:rFonts w:hint="eastAsia" w:ascii="宋体" w:hAnsi="宋体" w:eastAsia="宋体" w:cs="Times New Roman"/>
          <w:b/>
          <w:color w:val="auto"/>
          <w:szCs w:val="21"/>
          <w:highlight w:val="none"/>
          <w:lang w:eastAsia="zh-CN"/>
        </w:rPr>
        <w:t>如下</w:t>
      </w:r>
      <w:bookmarkStart w:id="38" w:name="_Hlk58231988"/>
      <w:r>
        <w:rPr>
          <w:rFonts w:hint="eastAsia" w:ascii="宋体" w:hAnsi="宋体" w:eastAsia="宋体" w:cs="Times New Roman"/>
          <w:b/>
          <w:color w:val="auto"/>
          <w:szCs w:val="21"/>
          <w:highlight w:val="none"/>
          <w:lang w:eastAsia="zh-CN"/>
        </w:rPr>
        <w:t>：</w:t>
      </w:r>
      <w:bookmarkEnd w:id="37"/>
      <w:bookmarkEnd w:id="38"/>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7000</w:t>
      </w:r>
      <w:r>
        <w:rPr>
          <w:rFonts w:hint="eastAsia" w:ascii="宋体" w:hAnsi="宋体" w:eastAsia="宋体" w:cs="Times New Roman"/>
          <w:b/>
          <w:color w:val="auto"/>
          <w:szCs w:val="21"/>
          <w:highlight w:val="none"/>
          <w:lang w:eastAsia="zh-CN"/>
        </w:rPr>
        <w:t>元</w:t>
      </w:r>
      <w:bookmarkStart w:id="472" w:name="_GoBack"/>
      <w:bookmarkEnd w:id="472"/>
    </w:p>
    <w:p>
      <w:pPr>
        <w:spacing w:before="240" w:after="240" w:line="300" w:lineRule="auto"/>
        <w:ind w:firstLine="570"/>
        <w:rPr>
          <w:rFonts w:ascii="宋体" w:hAnsi="宋体" w:eastAsia="宋体" w:cs="宋体"/>
          <w:color w:val="auto"/>
          <w:highlight w:val="none"/>
          <w:shd w:val="clear" w:color="auto" w:fill="FFFFFF"/>
          <w:lang w:eastAsia="zh-CN"/>
        </w:rPr>
      </w:pPr>
      <w:r>
        <w:rPr>
          <w:rFonts w:ascii="宋体" w:hAnsi="宋体" w:eastAsia="宋体" w:cs="宋体"/>
          <w:color w:val="auto"/>
          <w:highlight w:val="none"/>
          <w:shd w:val="clear" w:color="auto" w:fill="FFFFFF"/>
          <w:lang w:eastAsia="zh-CN"/>
        </w:rPr>
        <w:t>保证金须在20</w:t>
      </w:r>
      <w:r>
        <w:rPr>
          <w:rFonts w:hint="eastAsia" w:ascii="宋体" w:hAnsi="宋体" w:cs="宋体"/>
          <w:color w:val="auto"/>
          <w:highlight w:val="none"/>
          <w:u w:val="single"/>
          <w:shd w:val="clear" w:color="auto" w:fill="FFFFFF"/>
          <w:lang w:val="en-US" w:eastAsia="zh-CN"/>
        </w:rPr>
        <w:t>25</w:t>
      </w:r>
      <w:r>
        <w:rPr>
          <w:rFonts w:ascii="宋体" w:hAnsi="宋体" w:eastAsia="宋体" w:cs="宋体"/>
          <w:color w:val="auto"/>
          <w:highlight w:val="none"/>
          <w:shd w:val="clear" w:color="auto" w:fill="FFFFFF"/>
          <w:lang w:eastAsia="zh-CN"/>
        </w:rPr>
        <w:t>年</w:t>
      </w:r>
      <w:r>
        <w:rPr>
          <w:rFonts w:hint="eastAsia" w:ascii="宋体" w:hAnsi="宋体" w:cs="宋体"/>
          <w:color w:val="auto"/>
          <w:highlight w:val="none"/>
          <w:shd w:val="clear" w:color="auto" w:fill="FFFFFF"/>
          <w:lang w:val="en-US" w:eastAsia="zh-CN"/>
        </w:rPr>
        <w:t xml:space="preserve">  </w:t>
      </w:r>
      <w:r>
        <w:rPr>
          <w:rFonts w:ascii="宋体" w:hAnsi="宋体" w:eastAsia="宋体" w:cs="宋体"/>
          <w:color w:val="auto"/>
          <w:highlight w:val="none"/>
          <w:shd w:val="clear" w:color="auto" w:fill="FFFFFF"/>
          <w:lang w:eastAsia="zh-CN"/>
        </w:rPr>
        <w:t>月</w:t>
      </w:r>
      <w:r>
        <w:rPr>
          <w:rFonts w:hint="eastAsia" w:ascii="宋体" w:hAnsi="宋体" w:cs="宋体"/>
          <w:color w:val="auto"/>
          <w:highlight w:val="none"/>
          <w:u w:val="single"/>
          <w:shd w:val="clear" w:color="auto" w:fill="FFFFFF"/>
          <w:lang w:val="en-US" w:eastAsia="zh-CN"/>
        </w:rPr>
        <w:t xml:space="preserve">  </w:t>
      </w:r>
      <w:r>
        <w:rPr>
          <w:rFonts w:ascii="宋体" w:hAnsi="宋体" w:eastAsia="宋体" w:cs="宋体"/>
          <w:color w:val="auto"/>
          <w:highlight w:val="none"/>
          <w:shd w:val="clear" w:color="auto" w:fill="FFFFFF"/>
          <w:lang w:eastAsia="zh-CN"/>
        </w:rPr>
        <w:t>日</w:t>
      </w:r>
      <w:r>
        <w:rPr>
          <w:rFonts w:hint="eastAsia" w:ascii="宋体" w:hAnsi="宋体" w:cs="宋体"/>
          <w:color w:val="auto"/>
          <w:highlight w:val="none"/>
          <w:u w:val="single"/>
          <w:shd w:val="clear" w:color="auto" w:fill="FFFFFF"/>
          <w:lang w:val="en-US" w:eastAsia="zh-CN"/>
        </w:rPr>
        <w:t>17</w:t>
      </w:r>
      <w:r>
        <w:rPr>
          <w:rFonts w:ascii="宋体" w:hAnsi="宋体" w:eastAsia="宋体" w:cs="宋体"/>
          <w:color w:val="auto"/>
          <w:highlight w:val="none"/>
          <w:shd w:val="clear" w:color="auto" w:fill="FFFFFF"/>
          <w:lang w:eastAsia="zh-CN"/>
        </w:rPr>
        <w:t>:00前划达以下账号，否则为无效保证金。汇款时请注明所投项目名称。</w:t>
      </w:r>
    </w:p>
    <w:p>
      <w:pPr>
        <w:spacing w:before="240" w:after="240" w:line="300" w:lineRule="auto"/>
        <w:ind w:firstLine="570"/>
        <w:rPr>
          <w:rFonts w:ascii="宋体" w:hAnsi="宋体" w:eastAsia="宋体" w:cs="宋体"/>
          <w:color w:val="auto"/>
          <w:highlight w:val="none"/>
          <w:shd w:val="clear" w:color="auto" w:fill="FFFFFF"/>
          <w:lang w:eastAsia="zh-CN"/>
        </w:rPr>
      </w:pPr>
      <w:r>
        <w:rPr>
          <w:rFonts w:ascii="宋体" w:hAnsi="宋体" w:eastAsia="宋体" w:cs="宋体"/>
          <w:color w:val="auto"/>
          <w:highlight w:val="none"/>
          <w:shd w:val="clear" w:color="auto" w:fill="FFFFFF"/>
          <w:lang w:eastAsia="zh-CN"/>
        </w:rPr>
        <w:t>投标保证金缴交账户信息如下:</w:t>
      </w:r>
    </w:p>
    <w:p>
      <w:pPr>
        <w:spacing w:before="240" w:after="240" w:line="300" w:lineRule="auto"/>
        <w:ind w:firstLine="570"/>
        <w:rPr>
          <w:rFonts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户  名：广州农村产权交易所有限公司</w:t>
      </w:r>
    </w:p>
    <w:p>
      <w:pPr>
        <w:spacing w:before="240" w:after="240" w:line="300" w:lineRule="auto"/>
        <w:ind w:firstLine="570"/>
        <w:rPr>
          <w:rFonts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帐  号：15000036877506</w:t>
      </w:r>
    </w:p>
    <w:p>
      <w:pPr>
        <w:spacing w:before="240" w:after="240" w:line="300" w:lineRule="auto"/>
        <w:ind w:firstLine="570"/>
        <w:rPr>
          <w:rFonts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开户行：平安银行广州越秀支行</w:t>
      </w:r>
    </w:p>
    <w:p>
      <w:pPr>
        <w:numPr>
          <w:ilvl w:val="0"/>
          <w:numId w:val="2"/>
        </w:numPr>
        <w:adjustRightInd w:val="0"/>
        <w:snapToGrid w:val="0"/>
        <w:spacing w:line="360" w:lineRule="auto"/>
        <w:ind w:left="-2" w:leftChars="0" w:firstLine="422" w:firstLineChars="0"/>
        <w:jc w:val="both"/>
        <w:rPr>
          <w:rFonts w:ascii="宋体" w:hAnsi="宋体"/>
          <w:b/>
          <w:color w:val="auto"/>
          <w:szCs w:val="21"/>
          <w:highlight w:val="none"/>
        </w:rPr>
      </w:pPr>
      <w:r>
        <w:rPr>
          <w:rFonts w:hint="eastAsia" w:ascii="宋体" w:hAnsi="宋体"/>
          <w:b/>
          <w:color w:val="auto"/>
          <w:szCs w:val="21"/>
          <w:highlight w:val="none"/>
        </w:rPr>
        <w:t>采购信息发布及结果公告网站</w:t>
      </w:r>
    </w:p>
    <w:p>
      <w:pPr>
        <w:adjustRightInd w:val="0"/>
        <w:snapToGrid w:val="0"/>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lang w:eastAsia="zh-CN"/>
        </w:rPr>
        <w:t>广州农村产权交易所有限公司广州农村阳光招采平台（https://zc.gzaee.cn/#/）</w:t>
      </w:r>
      <w:r>
        <w:rPr>
          <w:rFonts w:hint="eastAsia" w:ascii="宋体" w:hAnsi="宋体"/>
          <w:color w:val="auto"/>
          <w:szCs w:val="21"/>
          <w:highlight w:val="none"/>
        </w:rPr>
        <w:t>、</w:t>
      </w:r>
      <w:r>
        <w:rPr>
          <w:rFonts w:hint="eastAsia" w:ascii="宋体" w:hAnsi="宋体" w:cs="Arial"/>
          <w:color w:val="auto"/>
          <w:szCs w:val="21"/>
          <w:highlight w:val="none"/>
        </w:rPr>
        <w:t>广东省机电设备招标有限公司广咨电子招投标交易平台（http://www.gzebi</w:t>
      </w:r>
      <w:r>
        <w:rPr>
          <w:rFonts w:hint="eastAsia" w:ascii="宋体" w:hAnsi="宋体"/>
          <w:color w:val="auto"/>
          <w:szCs w:val="21"/>
          <w:highlight w:val="none"/>
        </w:rPr>
        <w:t>d.cn/）及其他相关媒体。</w:t>
      </w:r>
    </w:p>
    <w:p>
      <w:pPr>
        <w:adjustRightInd w:val="0"/>
        <w:snapToGrid w:val="0"/>
        <w:spacing w:line="360" w:lineRule="auto"/>
        <w:ind w:left="420" w:leftChars="200"/>
        <w:jc w:val="both"/>
        <w:rPr>
          <w:rFonts w:hint="default" w:ascii="宋体" w:hAnsi="宋体" w:eastAsia="宋体" w:cs="宋体"/>
          <w:b/>
          <w:color w:val="auto"/>
          <w:highlight w:val="none"/>
          <w:lang w:val="en-US" w:eastAsia="zh-CN"/>
        </w:rPr>
      </w:pPr>
      <w:r>
        <w:rPr>
          <w:rFonts w:hint="eastAsia" w:ascii="宋体" w:hAnsi="宋体" w:cs="宋体"/>
          <w:b/>
          <w:color w:val="auto"/>
          <w:highlight w:val="none"/>
        </w:rPr>
        <w:t>十、</w:t>
      </w:r>
      <w:r>
        <w:rPr>
          <w:rFonts w:hint="eastAsia" w:ascii="宋体" w:hAnsi="宋体" w:cs="宋体"/>
          <w:b/>
          <w:color w:val="auto"/>
          <w:highlight w:val="none"/>
          <w:lang w:val="en-US" w:eastAsia="zh-CN"/>
        </w:rPr>
        <w:t>注意事项</w:t>
      </w:r>
    </w:p>
    <w:p>
      <w:pPr>
        <w:numPr>
          <w:ilvl w:val="0"/>
          <w:numId w:val="0"/>
        </w:numPr>
        <w:adjustRightInd w:val="0"/>
        <w:snapToGrid w:val="0"/>
        <w:spacing w:line="360" w:lineRule="auto"/>
        <w:ind w:left="420" w:leftChars="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（一）本项目一律不接受纸质响应文件，只接受具备法律效力的电子响应文件。供应商参加投标前，应当到电子认证服务机构办理</w:t>
      </w:r>
      <w:r>
        <w:rPr>
          <w:rFonts w:hint="eastAsia" w:ascii="宋体" w:hAnsi="宋体" w:eastAsia="宋体" w:cs="Times New Roman"/>
          <w:color w:val="auto"/>
          <w:szCs w:val="21"/>
          <w:highlight w:val="none"/>
          <w:lang w:val="en-US" w:eastAsia="zh-CN"/>
        </w:rPr>
        <w:t>广州农村阳光招采平台</w:t>
      </w:r>
      <w:r>
        <w:rPr>
          <w:rFonts w:hint="eastAsia" w:ascii="宋体" w:hAnsi="宋体" w:eastAsia="宋体" w:cs="Times New Roman"/>
          <w:color w:val="auto"/>
          <w:szCs w:val="21"/>
          <w:highlight w:val="none"/>
          <w:lang w:eastAsia="zh-CN"/>
        </w:rPr>
        <w:t>CA数字证书和电子签章。办理详情请参考以下网址：https://www.cnca.net/Client/detail/id/2498.html（注：如已办理CA证书，投标前请确认CA有效期）。</w:t>
      </w:r>
    </w:p>
    <w:p>
      <w:pPr>
        <w:numPr>
          <w:ilvl w:val="0"/>
          <w:numId w:val="0"/>
        </w:numPr>
        <w:adjustRightInd w:val="0"/>
        <w:snapToGrid w:val="0"/>
        <w:spacing w:line="360" w:lineRule="auto"/>
        <w:ind w:left="420" w:leftChars="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（二）如更正公告有重新发布电子采购文件的，供应商需使用更正公告后最新发布的电子采购文件来制作电子响应文件。</w:t>
      </w:r>
    </w:p>
    <w:p>
      <w:pPr>
        <w:numPr>
          <w:ilvl w:val="0"/>
          <w:numId w:val="0"/>
        </w:numPr>
        <w:adjustRightInd w:val="0"/>
        <w:snapToGrid w:val="0"/>
        <w:spacing w:line="360" w:lineRule="auto"/>
        <w:ind w:left="420" w:leftChars="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（三）供应商需在提交响应文件截止时间前完整上传电子响应文件，逾期送达或错误投递方式送达的响应文件本平台一概不接收。</w:t>
      </w:r>
    </w:p>
    <w:p>
      <w:pPr>
        <w:numPr>
          <w:ilvl w:val="0"/>
          <w:numId w:val="0"/>
        </w:numPr>
        <w:adjustRightInd w:val="0"/>
        <w:snapToGrid w:val="0"/>
        <w:spacing w:line="360" w:lineRule="auto"/>
        <w:ind w:left="420" w:leftChars="0"/>
        <w:jc w:val="both"/>
        <w:rPr>
          <w:rFonts w:hint="eastAsia" w:ascii="宋体" w:hAnsi="宋体" w:eastAsia="宋体" w:cs="Times New Roman"/>
          <w:b/>
          <w:bCs/>
          <w:color w:val="auto"/>
          <w:szCs w:val="21"/>
          <w:highlight w:val="none"/>
          <w:lang w:eastAsia="zh-CN"/>
        </w:rPr>
      </w:pPr>
      <w:r>
        <w:rPr>
          <w:rFonts w:hint="eastAsia" w:ascii="宋体" w:hAnsi="宋体" w:eastAsia="宋体" w:cs="Times New Roman"/>
          <w:color w:val="auto"/>
          <w:szCs w:val="21"/>
          <w:highlight w:val="none"/>
          <w:lang w:eastAsia="zh-CN"/>
        </w:rPr>
        <w:t>（四）供应商上传响应文件和解密响应文件应使用IE9及以上浏览器，因供应商浏览器、设备或网络原因导致响应文件上传失败或未按时解密响应文件的本所不承担任何责任。</w:t>
      </w:r>
      <w:r>
        <w:rPr>
          <w:rFonts w:hint="eastAsia" w:ascii="宋体" w:hAnsi="宋体" w:eastAsia="宋体" w:cs="Times New Roman"/>
          <w:b/>
          <w:bCs/>
          <w:color w:val="auto"/>
          <w:szCs w:val="21"/>
          <w:highlight w:val="none"/>
          <w:lang w:eastAsia="zh-CN"/>
        </w:rPr>
        <w:t>供应商制作的响应文件中所包含的各类型附件（包括但不限于PDF、DOC、JPG等）须为非加密格式，若上传的响应文件中包含加密格式的附件，导致供应商所提供的响应文件读取失败，由此产生的一切后果由供应商自行承担。</w:t>
      </w:r>
    </w:p>
    <w:p>
      <w:pPr>
        <w:numPr>
          <w:ilvl w:val="0"/>
          <w:numId w:val="0"/>
        </w:numPr>
        <w:adjustRightInd w:val="0"/>
        <w:snapToGrid w:val="0"/>
        <w:spacing w:line="360" w:lineRule="auto"/>
        <w:ind w:left="420" w:leftChars="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五）供应商应在响应文件解密时间内尽早解密响应文件，因供应商自身原因造成响应文件未解密的，视为撤销其响应文件；因供应商之外的原因造成响应文件未解密的，视为撤回其响应文件。如解密失败，供应商可在响应文件解密时间内联系</w:t>
      </w:r>
      <w:r>
        <w:rPr>
          <w:rFonts w:hint="eastAsia" w:ascii="宋体" w:hAnsi="宋体" w:eastAsia="宋体" w:cs="Times New Roman"/>
          <w:color w:val="auto"/>
          <w:szCs w:val="21"/>
          <w:highlight w:val="none"/>
          <w:lang w:val="en-US" w:eastAsia="zh-CN"/>
        </w:rPr>
        <w:t>广州农村阳光招采平台</w:t>
      </w:r>
      <w:r>
        <w:rPr>
          <w:rFonts w:hint="eastAsia" w:ascii="宋体" w:hAnsi="宋体" w:eastAsia="宋体" w:cs="Times New Roman"/>
          <w:color w:val="auto"/>
          <w:szCs w:val="21"/>
          <w:highlight w:val="none"/>
          <w:lang w:eastAsia="zh-CN"/>
        </w:rPr>
        <w:t>。</w:t>
      </w:r>
    </w:p>
    <w:p>
      <w:pPr>
        <w:numPr>
          <w:ilvl w:val="0"/>
          <w:numId w:val="0"/>
        </w:numPr>
        <w:adjustRightInd w:val="0"/>
        <w:snapToGrid w:val="0"/>
        <w:spacing w:line="360" w:lineRule="auto"/>
        <w:ind w:left="420" w:leftChars="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（六）</w:t>
      </w:r>
      <w:r>
        <w:rPr>
          <w:rFonts w:hint="eastAsia" w:ascii="宋体" w:hAnsi="宋体" w:eastAsia="宋体" w:cs="Times New Roman"/>
          <w:color w:val="auto"/>
          <w:szCs w:val="21"/>
          <w:highlight w:val="none"/>
          <w:lang w:val="en-US" w:eastAsia="zh-CN"/>
        </w:rPr>
        <w:t>广东省机电设备招标有限公司</w:t>
      </w:r>
      <w:r>
        <w:rPr>
          <w:rFonts w:hint="eastAsia" w:ascii="宋体" w:hAnsi="宋体" w:eastAsia="宋体" w:cs="Times New Roman"/>
          <w:color w:val="auto"/>
          <w:szCs w:val="21"/>
          <w:highlight w:val="none"/>
          <w:lang w:eastAsia="zh-CN"/>
        </w:rPr>
        <w:t>为采购代理机构，不对供应商进行项目投标登记时提交的相关资料的真实性负责，如供应商发现相关资料被盗用或复制，应遵循法律途径解决，追究侵权者责任。</w:t>
      </w:r>
    </w:p>
    <w:p>
      <w:pPr>
        <w:rPr>
          <w:rFonts w:hint="eastAsia"/>
          <w:color w:val="auto"/>
          <w:highlight w:val="none"/>
        </w:rPr>
      </w:pPr>
    </w:p>
    <w:p>
      <w:pPr>
        <w:adjustRightInd w:val="0"/>
        <w:snapToGrid w:val="0"/>
        <w:spacing w:line="360" w:lineRule="auto"/>
        <w:ind w:left="420" w:leftChars="200"/>
        <w:jc w:val="both"/>
        <w:rPr>
          <w:rFonts w:ascii="宋体" w:hAnsi="宋体"/>
          <w:b/>
          <w:color w:val="auto"/>
          <w:szCs w:val="21"/>
          <w:highlight w:val="none"/>
        </w:rPr>
      </w:pPr>
      <w:r>
        <w:rPr>
          <w:rFonts w:hint="eastAsia" w:ascii="宋体" w:hAnsi="宋体"/>
          <w:b/>
          <w:color w:val="auto"/>
          <w:szCs w:val="21"/>
          <w:highlight w:val="none"/>
        </w:rPr>
        <w:t>十一、采购人、采购代理机构的名称、地址和联系方式</w:t>
      </w:r>
    </w:p>
    <w:p>
      <w:pPr>
        <w:numPr>
          <w:ilvl w:val="1"/>
          <w:numId w:val="2"/>
        </w:numPr>
        <w:adjustRightInd w:val="0"/>
        <w:snapToGrid w:val="0"/>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采购人：</w:t>
      </w:r>
    </w:p>
    <w:p>
      <w:pPr>
        <w:adjustRightInd w:val="0"/>
        <w:snapToGrid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olor w:val="auto"/>
          <w:szCs w:val="21"/>
          <w:highlight w:val="none"/>
        </w:rPr>
        <w:t>采购人名称：</w:t>
      </w:r>
      <w:r>
        <w:rPr>
          <w:rFonts w:hint="eastAsia" w:ascii="宋体" w:hAnsi="宋体"/>
          <w:color w:val="auto"/>
          <w:szCs w:val="21"/>
          <w:highlight w:val="none"/>
          <w:lang w:eastAsia="zh-CN"/>
        </w:rPr>
        <w:t>广州市海珠区路联物业管理服务部</w:t>
      </w:r>
    </w:p>
    <w:p>
      <w:pPr>
        <w:adjustRightInd w:val="0"/>
        <w:snapToGrid w:val="0"/>
        <w:spacing w:line="360" w:lineRule="auto"/>
        <w:ind w:firstLine="420" w:firstLineChars="200"/>
        <w:jc w:val="both"/>
        <w:rPr>
          <w:rFonts w:hint="eastAsia" w:ascii="宋体" w:hAnsi="宋体"/>
          <w:color w:val="auto"/>
          <w:szCs w:val="21"/>
          <w:highlight w:val="none"/>
          <w:lang w:val="en-US" w:eastAsia="zh-CN"/>
        </w:rPr>
      </w:pPr>
      <w:r>
        <w:rPr>
          <w:rFonts w:hint="eastAsia" w:ascii="宋体" w:hAnsi="宋体"/>
          <w:color w:val="auto"/>
          <w:szCs w:val="21"/>
          <w:highlight w:val="none"/>
          <w:lang w:eastAsia="zh-CN"/>
        </w:rPr>
        <w:t>地址</w:t>
      </w:r>
      <w:r>
        <w:rPr>
          <w:rFonts w:hint="eastAsia" w:ascii="宋体" w:hAnsi="宋体"/>
          <w:color w:val="auto"/>
          <w:szCs w:val="21"/>
          <w:highlight w:val="none"/>
        </w:rPr>
        <w:t>：</w:t>
      </w:r>
      <w:r>
        <w:rPr>
          <w:rFonts w:hint="eastAsia" w:ascii="宋体" w:hAnsi="宋体"/>
          <w:color w:val="auto"/>
          <w:szCs w:val="21"/>
          <w:highlight w:val="none"/>
          <w:lang w:val="en-US" w:eastAsia="zh-CN"/>
        </w:rPr>
        <w:t>广州市海珠区鹭江西街32号4楼</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lang w:val="en-US" w:eastAsia="zh-CN"/>
        </w:rPr>
        <w:t>电话：</w:t>
      </w:r>
      <w:r>
        <w:rPr>
          <w:rFonts w:hint="eastAsia" w:ascii="宋体" w:hAnsi="宋体" w:eastAsia="宋体" w:cs="Times New Roman"/>
          <w:color w:val="auto"/>
          <w:szCs w:val="21"/>
          <w:highlight w:val="none"/>
          <w:lang w:val="en-US" w:eastAsia="zh-CN"/>
        </w:rPr>
        <w:t>020-84195206</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（二）采购代理机构：</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名称：广东省机电设备招标有限公司</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地址：广州市环市中路</w:t>
      </w:r>
      <w:r>
        <w:rPr>
          <w:rFonts w:ascii="宋体" w:hAnsi="宋体"/>
          <w:color w:val="auto"/>
          <w:szCs w:val="21"/>
          <w:highlight w:val="none"/>
        </w:rPr>
        <w:t>316</w:t>
      </w:r>
      <w:r>
        <w:rPr>
          <w:rFonts w:hint="eastAsia" w:ascii="宋体" w:hAnsi="宋体"/>
          <w:color w:val="auto"/>
          <w:szCs w:val="21"/>
          <w:highlight w:val="none"/>
        </w:rPr>
        <w:t>号金鹰大厦10楼1027室</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邮编：</w:t>
      </w:r>
      <w:r>
        <w:rPr>
          <w:rFonts w:ascii="宋体" w:hAnsi="宋体"/>
          <w:color w:val="auto"/>
          <w:szCs w:val="21"/>
          <w:highlight w:val="none"/>
        </w:rPr>
        <w:t>510060</w:t>
      </w:r>
    </w:p>
    <w:p>
      <w:pPr>
        <w:adjustRightInd w:val="0"/>
        <w:snapToGrid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采购项目联系人：</w:t>
      </w:r>
      <w:r>
        <w:rPr>
          <w:rFonts w:hint="eastAsia" w:ascii="宋体" w:hAnsi="宋体"/>
          <w:color w:val="auto"/>
          <w:szCs w:val="21"/>
          <w:highlight w:val="none"/>
          <w:lang w:val="en-US" w:eastAsia="zh-CN"/>
        </w:rPr>
        <w:t>陈</w:t>
      </w:r>
      <w:r>
        <w:rPr>
          <w:rFonts w:hint="eastAsia" w:ascii="宋体" w:hAnsi="宋体"/>
          <w:color w:val="auto"/>
          <w:szCs w:val="21"/>
          <w:highlight w:val="none"/>
        </w:rPr>
        <w:t>工</w:t>
      </w:r>
    </w:p>
    <w:p>
      <w:pPr>
        <w:adjustRightInd w:val="0"/>
        <w:snapToGrid w:val="0"/>
        <w:spacing w:line="360" w:lineRule="auto"/>
        <w:ind w:firstLine="420" w:firstLineChars="200"/>
        <w:jc w:val="both"/>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020-83546109</w:t>
      </w:r>
    </w:p>
    <w:p>
      <w:pPr>
        <w:adjustRightInd w:val="0"/>
        <w:snapToGrid w:val="0"/>
        <w:spacing w:line="360" w:lineRule="auto"/>
        <w:ind w:firstLine="420" w:firstLineChars="200"/>
        <w:jc w:val="both"/>
        <w:rPr>
          <w:rFonts w:ascii="宋体" w:hAnsi="宋体"/>
          <w:color w:val="auto"/>
          <w:szCs w:val="21"/>
          <w:highlight w:val="none"/>
        </w:rPr>
      </w:pPr>
      <w:r>
        <w:rPr>
          <w:rFonts w:ascii="宋体" w:hAnsi="宋体"/>
          <w:color w:val="auto"/>
          <w:szCs w:val="21"/>
          <w:highlight w:val="none"/>
        </w:rPr>
        <w:t>E-mail</w:t>
      </w:r>
      <w:r>
        <w:rPr>
          <w:rFonts w:hint="eastAsia" w:ascii="宋体" w:hAnsi="宋体"/>
          <w:color w:val="auto"/>
          <w:szCs w:val="21"/>
          <w:highlight w:val="none"/>
        </w:rPr>
        <w:t>：</w:t>
      </w:r>
      <w:r>
        <w:rPr>
          <w:rFonts w:ascii="宋体" w:hAnsi="宋体"/>
          <w:color w:val="auto"/>
          <w:szCs w:val="21"/>
          <w:highlight w:val="none"/>
        </w:rPr>
        <w:t>gmetb2@126.com</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jc w:val="both"/>
        <w:rPr>
          <w:rFonts w:ascii="宋体" w:hAnsi="宋体"/>
          <w:color w:val="auto"/>
          <w:szCs w:val="21"/>
          <w:highlight w:val="none"/>
        </w:rPr>
      </w:pPr>
    </w:p>
    <w:p>
      <w:pPr>
        <w:pStyle w:val="6"/>
        <w:keepNext/>
        <w:keepLines/>
        <w:pageBreakBefore w:val="0"/>
        <w:widowControl/>
        <w:kinsoku/>
        <w:wordWrap/>
        <w:overflowPunct/>
        <w:topLinePunct w:val="0"/>
        <w:autoSpaceDE/>
        <w:autoSpaceDN/>
        <w:bidi w:val="0"/>
        <w:adjustRightInd/>
        <w:snapToGrid w:val="0"/>
        <w:spacing w:before="157" w:beforeLines="50" w:after="0" w:line="360" w:lineRule="auto"/>
        <w:jc w:val="center"/>
        <w:textAlignment w:val="auto"/>
        <w:rPr>
          <w:rFonts w:ascii="宋体" w:hAnsi="宋体"/>
          <w:color w:val="auto"/>
          <w:sz w:val="21"/>
          <w:szCs w:val="21"/>
          <w:highlight w:val="none"/>
        </w:rPr>
      </w:pPr>
      <w:r>
        <w:rPr>
          <w:rFonts w:ascii="宋体" w:hAnsi="宋体"/>
          <w:color w:val="auto"/>
          <w:sz w:val="21"/>
          <w:szCs w:val="21"/>
          <w:highlight w:val="none"/>
        </w:rPr>
        <w:br w:type="page"/>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9" w:name="_Toc2074411"/>
      <w:bookmarkStart w:id="40" w:name="_Toc30479"/>
      <w:bookmarkStart w:id="41" w:name="_Toc509392314"/>
      <w:r>
        <w:rPr>
          <w:rFonts w:hint="eastAsia" w:ascii="宋体" w:hAnsi="宋体"/>
          <w:color w:val="auto"/>
          <w:sz w:val="30"/>
          <w:szCs w:val="30"/>
          <w:highlight w:val="none"/>
        </w:rPr>
        <w:t>第二章 供应商须知</w:t>
      </w:r>
      <w:bookmarkEnd w:id="39"/>
      <w:bookmarkEnd w:id="40"/>
      <w:bookmarkEnd w:id="41"/>
    </w:p>
    <w:p>
      <w:pPr>
        <w:pStyle w:val="7"/>
        <w:rPr>
          <w:rFonts w:hAnsi="宋体"/>
          <w:b/>
          <w:color w:val="auto"/>
          <w:sz w:val="24"/>
          <w:szCs w:val="24"/>
          <w:highlight w:val="none"/>
        </w:rPr>
      </w:pPr>
      <w:bookmarkStart w:id="42" w:name="_Toc2074412"/>
      <w:bookmarkStart w:id="43" w:name="_Toc509392315"/>
      <w:bookmarkStart w:id="44" w:name="_Toc13545"/>
      <w:r>
        <w:rPr>
          <w:rFonts w:hint="eastAsia" w:hAnsi="宋体"/>
          <w:b/>
          <w:color w:val="auto"/>
          <w:sz w:val="24"/>
          <w:szCs w:val="24"/>
          <w:highlight w:val="none"/>
        </w:rPr>
        <w:t>供应商须知前附表</w:t>
      </w:r>
      <w:bookmarkEnd w:id="42"/>
      <w:bookmarkEnd w:id="43"/>
      <w:bookmarkEnd w:id="44"/>
    </w:p>
    <w:p>
      <w:pPr>
        <w:snapToGrid w:val="0"/>
        <w:spacing w:line="360" w:lineRule="auto"/>
        <w:ind w:firstLine="527"/>
        <w:rPr>
          <w:rFonts w:ascii="宋体" w:hAnsi="宋体"/>
          <w:b/>
          <w:color w:val="auto"/>
          <w:szCs w:val="21"/>
          <w:highlight w:val="none"/>
        </w:rPr>
      </w:pPr>
      <w:r>
        <w:rPr>
          <w:rFonts w:hint="eastAsia" w:ascii="宋体" w:hAnsi="宋体"/>
          <w:color w:val="auto"/>
          <w:szCs w:val="21"/>
          <w:highlight w:val="none"/>
        </w:rPr>
        <w:t>本资料表的条款序号是与</w:t>
      </w:r>
      <w:r>
        <w:rPr>
          <w:rFonts w:hint="eastAsia" w:ascii="宋体" w:hAnsi="宋体"/>
          <w:caps/>
          <w:color w:val="auto"/>
          <w:szCs w:val="21"/>
          <w:highlight w:val="none"/>
        </w:rPr>
        <w:t>《供应商须知》中的条款序号对应的，或是新增的条款，</w:t>
      </w:r>
      <w:r>
        <w:rPr>
          <w:rFonts w:hint="eastAsia" w:ascii="宋体" w:hAnsi="宋体"/>
          <w:color w:val="auto"/>
          <w:szCs w:val="21"/>
          <w:highlight w:val="none"/>
        </w:rPr>
        <w:t>是对</w:t>
      </w:r>
      <w:r>
        <w:rPr>
          <w:rFonts w:hint="eastAsia" w:ascii="宋体" w:hAnsi="宋体"/>
          <w:caps/>
          <w:color w:val="auto"/>
          <w:szCs w:val="21"/>
          <w:highlight w:val="none"/>
        </w:rPr>
        <w:t>《供应商须知》的补充、修改和完善</w:t>
      </w:r>
      <w:r>
        <w:rPr>
          <w:rFonts w:hint="eastAsia" w:ascii="宋体" w:hAnsi="宋体"/>
          <w:b/>
          <w:caps/>
          <w:color w:val="auto"/>
          <w:szCs w:val="21"/>
          <w:highlight w:val="none"/>
        </w:rPr>
        <w:t>。</w:t>
      </w:r>
      <w:r>
        <w:rPr>
          <w:rFonts w:hint="eastAsia" w:ascii="宋体" w:hAnsi="宋体"/>
          <w:b/>
          <w:color w:val="auto"/>
          <w:szCs w:val="21"/>
          <w:highlight w:val="none"/>
        </w:rPr>
        <w:t>如果有矛盾，应以本资料表为准。</w:t>
      </w:r>
    </w:p>
    <w:tbl>
      <w:tblPr>
        <w:tblStyle w:val="48"/>
        <w:tblW w:w="918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7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trPr>
        <w:tc>
          <w:tcPr>
            <w:tcW w:w="1276" w:type="dxa"/>
            <w:noWrap w:val="0"/>
            <w:vAlign w:val="center"/>
          </w:tcPr>
          <w:p>
            <w:pPr>
              <w:adjustRightInd w:val="0"/>
              <w:snapToGrid w:val="0"/>
              <w:jc w:val="center"/>
              <w:rPr>
                <w:rFonts w:ascii="宋体" w:hAnsi="宋体"/>
                <w:b/>
                <w:bCs/>
                <w:color w:val="auto"/>
                <w:kern w:val="44"/>
                <w:szCs w:val="21"/>
                <w:highlight w:val="none"/>
              </w:rPr>
            </w:pPr>
            <w:r>
              <w:rPr>
                <w:rFonts w:hint="eastAsia" w:ascii="宋体" w:hAnsi="宋体"/>
                <w:b/>
                <w:color w:val="auto"/>
                <w:szCs w:val="21"/>
                <w:highlight w:val="none"/>
              </w:rPr>
              <w:t>条款序号</w:t>
            </w:r>
          </w:p>
        </w:tc>
        <w:tc>
          <w:tcPr>
            <w:tcW w:w="7904" w:type="dxa"/>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1276" w:type="dxa"/>
            <w:noWrap w:val="0"/>
            <w:vAlign w:val="center"/>
          </w:tcPr>
          <w:p>
            <w:pPr>
              <w:adjustRightInd w:val="0"/>
              <w:snapToGrid w:val="0"/>
              <w:jc w:val="center"/>
              <w:rPr>
                <w:rFonts w:hint="eastAsia" w:ascii="宋体" w:hAnsi="宋体"/>
                <w:b/>
                <w:color w:val="auto"/>
                <w:szCs w:val="21"/>
                <w:highlight w:val="none"/>
              </w:rPr>
            </w:pPr>
          </w:p>
        </w:tc>
        <w:tc>
          <w:tcPr>
            <w:tcW w:w="7904" w:type="dxa"/>
            <w:noWrap w:val="0"/>
            <w:vAlign w:val="center"/>
          </w:tcPr>
          <w:p>
            <w:pPr>
              <w:tabs>
                <w:tab w:val="left" w:pos="315"/>
                <w:tab w:val="left" w:pos="1785"/>
                <w:tab w:val="left" w:pos="2310"/>
                <w:tab w:val="left" w:pos="8640"/>
              </w:tabs>
              <w:adjustRightInd w:val="0"/>
              <w:snapToGrid w:val="0"/>
              <w:jc w:val="both"/>
              <w:rPr>
                <w:rFonts w:hint="eastAsia" w:ascii="宋体" w:hAnsi="宋体"/>
                <w:b/>
                <w:color w:val="auto"/>
                <w:szCs w:val="21"/>
                <w:highlight w:val="none"/>
              </w:rPr>
            </w:pPr>
            <w:r>
              <w:rPr>
                <w:rFonts w:hint="eastAsia" w:ascii="宋体" w:hAnsi="宋体"/>
                <w:b/>
                <w:color w:val="auto"/>
                <w:szCs w:val="21"/>
                <w:highlight w:val="none"/>
                <w:lang w:val="en-US" w:eastAsia="zh-CN"/>
              </w:rPr>
              <w:t>一</w:t>
            </w:r>
            <w:r>
              <w:rPr>
                <w:rFonts w:hint="eastAsia" w:ascii="宋体" w:hAnsi="宋体"/>
                <w:b/>
                <w:color w:val="auto"/>
                <w:szCs w:val="21"/>
                <w:highlight w:val="none"/>
              </w:rPr>
              <w:t>、一般要求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exact"/>
        </w:trPr>
        <w:tc>
          <w:tcPr>
            <w:tcW w:w="127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（二）</w:t>
            </w:r>
          </w:p>
        </w:tc>
        <w:tc>
          <w:tcPr>
            <w:tcW w:w="7904" w:type="dxa"/>
            <w:noWrap w:val="0"/>
            <w:vAlign w:val="center"/>
          </w:tcPr>
          <w:p>
            <w:pPr>
              <w:tabs>
                <w:tab w:val="left" w:pos="315"/>
                <w:tab w:val="left" w:pos="1785"/>
                <w:tab w:val="left" w:pos="2310"/>
                <w:tab w:val="left" w:pos="8640"/>
              </w:tabs>
              <w:adjustRightInd w:val="0"/>
              <w:snapToGrid w:val="0"/>
              <w:jc w:val="both"/>
              <w:rPr>
                <w:rFonts w:hint="eastAsia" w:ascii="宋体" w:hAnsi="宋体"/>
                <w:color w:val="auto"/>
                <w:szCs w:val="21"/>
                <w:highlight w:val="none"/>
              </w:rPr>
            </w:pPr>
            <w:r>
              <w:rPr>
                <w:rFonts w:hint="eastAsia" w:ascii="宋体" w:hAnsi="宋体"/>
                <w:color w:val="auto"/>
                <w:szCs w:val="21"/>
                <w:highlight w:val="none"/>
              </w:rPr>
              <w:t>澄清与修改：如有需要采购代理和/或采购人澄清的问题，应将要求澄清的问题以书面文字形式于响应文件截止时间</w:t>
            </w:r>
            <w:r>
              <w:rPr>
                <w:rFonts w:ascii="宋体" w:hAnsi="宋体"/>
                <w:color w:val="auto"/>
                <w:szCs w:val="21"/>
                <w:highlight w:val="none"/>
              </w:rPr>
              <w:t>5</w:t>
            </w:r>
            <w:r>
              <w:rPr>
                <w:rFonts w:hint="eastAsia" w:ascii="宋体" w:hAnsi="宋体"/>
                <w:color w:val="auto"/>
                <w:szCs w:val="21"/>
                <w:highlight w:val="none"/>
              </w:rPr>
              <w:t>天前直接送达或邮件通知采购代理机构和采购人。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1276" w:type="dxa"/>
            <w:noWrap w:val="0"/>
            <w:vAlign w:val="center"/>
          </w:tcPr>
          <w:p>
            <w:pPr>
              <w:tabs>
                <w:tab w:val="left" w:pos="315"/>
                <w:tab w:val="left" w:pos="1785"/>
                <w:tab w:val="left" w:pos="2310"/>
                <w:tab w:val="left" w:pos="8640"/>
              </w:tabs>
              <w:adjustRightInd w:val="0"/>
              <w:snapToGrid w:val="0"/>
              <w:jc w:val="center"/>
              <w:rPr>
                <w:rFonts w:ascii="宋体" w:hAnsi="宋体"/>
                <w:b/>
                <w:color w:val="auto"/>
                <w:szCs w:val="21"/>
                <w:highlight w:val="none"/>
              </w:rPr>
            </w:pPr>
          </w:p>
        </w:tc>
        <w:tc>
          <w:tcPr>
            <w:tcW w:w="7904" w:type="dxa"/>
            <w:noWrap w:val="0"/>
            <w:vAlign w:val="center"/>
          </w:tcPr>
          <w:p>
            <w:pPr>
              <w:tabs>
                <w:tab w:val="left" w:pos="315"/>
                <w:tab w:val="left" w:pos="1785"/>
                <w:tab w:val="left" w:pos="2310"/>
                <w:tab w:val="left" w:pos="8640"/>
              </w:tabs>
              <w:adjustRightInd w:val="0"/>
              <w:snapToGrid w:val="0"/>
              <w:jc w:val="both"/>
              <w:rPr>
                <w:rFonts w:ascii="宋体" w:hAnsi="宋体"/>
                <w:b/>
                <w:color w:val="auto"/>
                <w:kern w:val="2"/>
                <w:szCs w:val="21"/>
                <w:highlight w:val="none"/>
              </w:rPr>
            </w:pPr>
            <w:r>
              <w:rPr>
                <w:rFonts w:hint="eastAsia" w:ascii="宋体" w:hAnsi="宋体"/>
                <w:b/>
                <w:color w:val="auto"/>
                <w:szCs w:val="21"/>
                <w:highlight w:val="none"/>
                <w:lang w:val="en-US" w:eastAsia="zh-CN"/>
              </w:rPr>
              <w:t>二</w:t>
            </w:r>
            <w:r>
              <w:rPr>
                <w:rFonts w:hint="eastAsia" w:ascii="宋体" w:hAnsi="宋体"/>
                <w:b/>
                <w:color w:val="auto"/>
                <w:szCs w:val="21"/>
                <w:highlight w:val="none"/>
              </w:rPr>
              <w:t>、响应文件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4" w:hRule="exact"/>
        </w:trPr>
        <w:tc>
          <w:tcPr>
            <w:tcW w:w="1276" w:type="dxa"/>
            <w:noWrap w:val="0"/>
            <w:vAlign w:val="center"/>
          </w:tcPr>
          <w:p>
            <w:pPr>
              <w:tabs>
                <w:tab w:val="left" w:pos="315"/>
                <w:tab w:val="left" w:pos="1785"/>
                <w:tab w:val="left" w:pos="2310"/>
                <w:tab w:val="left" w:pos="8640"/>
              </w:tabs>
              <w:adjustRightInd w:val="0"/>
              <w:snapToGrid w:val="0"/>
              <w:jc w:val="center"/>
              <w:rPr>
                <w:rFonts w:ascii="宋体" w:hAnsi="宋体"/>
                <w:b/>
                <w:color w:val="auto"/>
                <w:szCs w:val="21"/>
                <w:highlight w:val="none"/>
              </w:rPr>
            </w:pPr>
            <w:r>
              <w:rPr>
                <w:rFonts w:hint="eastAsia" w:ascii="宋体" w:hAnsi="宋体"/>
                <w:b/>
                <w:color w:val="auto"/>
                <w:szCs w:val="21"/>
                <w:highlight w:val="none"/>
              </w:rPr>
              <w:t>（一）</w:t>
            </w:r>
          </w:p>
        </w:tc>
        <w:tc>
          <w:tcPr>
            <w:tcW w:w="7904" w:type="dxa"/>
            <w:noWrap w:val="0"/>
            <w:vAlign w:val="center"/>
          </w:tcPr>
          <w:p>
            <w:pPr>
              <w:pStyle w:val="34"/>
              <w:adjustRightInd w:val="0"/>
              <w:snapToGrid w:val="0"/>
              <w:spacing w:line="240" w:lineRule="auto"/>
              <w:ind w:left="0" w:firstLine="0"/>
              <w:jc w:val="both"/>
              <w:rPr>
                <w:rFonts w:hint="eastAsia"/>
                <w:color w:val="auto"/>
                <w:highlight w:val="none"/>
              </w:rPr>
            </w:pPr>
            <w:r>
              <w:rPr>
                <w:rFonts w:hint="eastAsia"/>
                <w:color w:val="auto"/>
                <w:highlight w:val="none"/>
                <w:lang w:val="en-US" w:eastAsia="zh-CN"/>
              </w:rPr>
              <w:t>1.</w:t>
            </w:r>
            <w:r>
              <w:rPr>
                <w:rFonts w:hint="eastAsia"/>
                <w:color w:val="auto"/>
                <w:highlight w:val="none"/>
              </w:rPr>
              <w:t>本项目一律不接受纸质</w:t>
            </w:r>
            <w:r>
              <w:rPr>
                <w:rFonts w:hint="eastAsia"/>
                <w:color w:val="auto"/>
                <w:highlight w:val="none"/>
                <w:lang w:eastAsia="zh-CN"/>
              </w:rPr>
              <w:t>响应文件</w:t>
            </w:r>
            <w:r>
              <w:rPr>
                <w:rFonts w:hint="eastAsia"/>
                <w:color w:val="auto"/>
                <w:highlight w:val="none"/>
              </w:rPr>
              <w:t>，只接受具备法律效力的电子</w:t>
            </w:r>
            <w:r>
              <w:rPr>
                <w:rFonts w:hint="eastAsia"/>
                <w:color w:val="auto"/>
                <w:highlight w:val="none"/>
                <w:lang w:eastAsia="zh-CN"/>
              </w:rPr>
              <w:t>响应文件</w:t>
            </w:r>
            <w:r>
              <w:rPr>
                <w:rFonts w:hint="eastAsia"/>
                <w:color w:val="auto"/>
                <w:highlight w:val="none"/>
              </w:rPr>
              <w:t>。</w:t>
            </w:r>
            <w:r>
              <w:rPr>
                <w:rFonts w:hint="eastAsia"/>
                <w:color w:val="auto"/>
                <w:highlight w:val="none"/>
                <w:lang w:eastAsia="zh-CN"/>
              </w:rPr>
              <w:t>供应商</w:t>
            </w:r>
            <w:r>
              <w:rPr>
                <w:rFonts w:hint="eastAsia"/>
                <w:color w:val="auto"/>
                <w:highlight w:val="none"/>
              </w:rPr>
              <w:t>参加投标前，应当到电子认证服务机构办理广州农村阳光招采平台CA数字证书和电子签章。办理详情请参考以下网址：https://www.cnca.net/Client/detail/id/2498.html（注：如已办理CA证书，投标前请确认CA有效期）。</w:t>
            </w:r>
          </w:p>
          <w:p>
            <w:pPr>
              <w:pStyle w:val="34"/>
              <w:adjustRightInd w:val="0"/>
              <w:snapToGrid w:val="0"/>
              <w:spacing w:line="240" w:lineRule="auto"/>
              <w:ind w:left="0" w:firstLine="0"/>
              <w:jc w:val="both"/>
              <w:rPr>
                <w:rFonts w:hint="eastAsia"/>
                <w:color w:val="auto"/>
                <w:highlight w:val="none"/>
              </w:rPr>
            </w:pPr>
            <w:r>
              <w:rPr>
                <w:rFonts w:hint="eastAsia"/>
                <w:color w:val="auto"/>
                <w:highlight w:val="none"/>
                <w:lang w:val="en-US" w:eastAsia="zh-CN"/>
              </w:rPr>
              <w:t>2.</w:t>
            </w:r>
            <w:r>
              <w:rPr>
                <w:rFonts w:hint="eastAsia"/>
                <w:color w:val="auto"/>
                <w:highlight w:val="none"/>
              </w:rPr>
              <w:t>如更正公告有重新发布电子</w:t>
            </w:r>
            <w:r>
              <w:rPr>
                <w:rFonts w:hint="eastAsia"/>
                <w:color w:val="auto"/>
                <w:highlight w:val="none"/>
                <w:lang w:eastAsia="zh-CN"/>
              </w:rPr>
              <w:t>采购文件</w:t>
            </w:r>
            <w:r>
              <w:rPr>
                <w:rFonts w:hint="eastAsia"/>
                <w:color w:val="auto"/>
                <w:highlight w:val="none"/>
              </w:rPr>
              <w:t>的，</w:t>
            </w:r>
            <w:r>
              <w:rPr>
                <w:rFonts w:hint="eastAsia"/>
                <w:color w:val="auto"/>
                <w:highlight w:val="none"/>
                <w:lang w:eastAsia="zh-CN"/>
              </w:rPr>
              <w:t>供应商</w:t>
            </w:r>
            <w:r>
              <w:rPr>
                <w:rFonts w:hint="eastAsia"/>
                <w:color w:val="auto"/>
                <w:highlight w:val="none"/>
              </w:rPr>
              <w:t>需使用更正公告后最新发布的电子</w:t>
            </w:r>
            <w:r>
              <w:rPr>
                <w:rFonts w:hint="eastAsia"/>
                <w:color w:val="auto"/>
                <w:highlight w:val="none"/>
                <w:lang w:eastAsia="zh-CN"/>
              </w:rPr>
              <w:t>采购文件</w:t>
            </w:r>
            <w:r>
              <w:rPr>
                <w:rFonts w:hint="eastAsia"/>
                <w:color w:val="auto"/>
                <w:highlight w:val="none"/>
              </w:rPr>
              <w:t>来制作电子</w:t>
            </w:r>
            <w:r>
              <w:rPr>
                <w:rFonts w:hint="eastAsia"/>
                <w:color w:val="auto"/>
                <w:highlight w:val="none"/>
                <w:lang w:eastAsia="zh-CN"/>
              </w:rPr>
              <w:t>响应文件</w:t>
            </w:r>
            <w:r>
              <w:rPr>
                <w:rFonts w:hint="eastAsia"/>
                <w:color w:val="auto"/>
                <w:highlight w:val="none"/>
              </w:rPr>
              <w:t>。</w:t>
            </w:r>
          </w:p>
          <w:p>
            <w:pPr>
              <w:pStyle w:val="34"/>
              <w:adjustRightInd w:val="0"/>
              <w:snapToGrid w:val="0"/>
              <w:spacing w:line="240" w:lineRule="auto"/>
              <w:ind w:left="0" w:firstLine="0"/>
              <w:jc w:val="both"/>
              <w:rPr>
                <w:rFonts w:hint="eastAsia"/>
                <w:color w:val="auto"/>
                <w:highlight w:val="none"/>
              </w:rPr>
            </w:pPr>
            <w:r>
              <w:rPr>
                <w:rFonts w:hint="eastAsia"/>
                <w:color w:val="auto"/>
                <w:highlight w:val="none"/>
                <w:lang w:val="en-US" w:eastAsia="zh-CN"/>
              </w:rPr>
              <w:t>3.</w:t>
            </w:r>
            <w:r>
              <w:rPr>
                <w:rFonts w:hint="eastAsia"/>
                <w:color w:val="auto"/>
                <w:highlight w:val="none"/>
                <w:lang w:eastAsia="zh-CN"/>
              </w:rPr>
              <w:t>供应商</w:t>
            </w:r>
            <w:r>
              <w:rPr>
                <w:rFonts w:hint="eastAsia"/>
                <w:color w:val="auto"/>
                <w:highlight w:val="none"/>
              </w:rPr>
              <w:t>需在提交</w:t>
            </w:r>
            <w:r>
              <w:rPr>
                <w:rFonts w:hint="eastAsia"/>
                <w:color w:val="auto"/>
                <w:highlight w:val="none"/>
                <w:lang w:eastAsia="zh-CN"/>
              </w:rPr>
              <w:t>响应文件</w:t>
            </w:r>
            <w:r>
              <w:rPr>
                <w:rFonts w:hint="eastAsia"/>
                <w:color w:val="auto"/>
                <w:highlight w:val="none"/>
              </w:rPr>
              <w:t>截止时间前完整上传电子</w:t>
            </w:r>
            <w:r>
              <w:rPr>
                <w:rFonts w:hint="eastAsia"/>
                <w:color w:val="auto"/>
                <w:highlight w:val="none"/>
                <w:lang w:eastAsia="zh-CN"/>
              </w:rPr>
              <w:t>响应文件</w:t>
            </w:r>
            <w:r>
              <w:rPr>
                <w:rFonts w:hint="eastAsia"/>
                <w:color w:val="auto"/>
                <w:highlight w:val="none"/>
              </w:rPr>
              <w:t>，逾期送达或错误投递方式送达的</w:t>
            </w:r>
            <w:r>
              <w:rPr>
                <w:rFonts w:hint="eastAsia"/>
                <w:color w:val="auto"/>
                <w:highlight w:val="none"/>
                <w:lang w:eastAsia="zh-CN"/>
              </w:rPr>
              <w:t>响应文件</w:t>
            </w:r>
            <w:r>
              <w:rPr>
                <w:rFonts w:hint="eastAsia"/>
                <w:color w:val="auto"/>
                <w:highlight w:val="none"/>
              </w:rPr>
              <w:t>本平台一概不接收。</w:t>
            </w:r>
          </w:p>
          <w:p>
            <w:pPr>
              <w:pStyle w:val="34"/>
              <w:adjustRightInd w:val="0"/>
              <w:snapToGrid w:val="0"/>
              <w:spacing w:line="240" w:lineRule="auto"/>
              <w:ind w:left="0" w:firstLine="0"/>
              <w:jc w:val="both"/>
              <w:rPr>
                <w:rFonts w:hint="eastAsia"/>
                <w:color w:val="auto"/>
                <w:highlight w:val="none"/>
              </w:rPr>
            </w:pPr>
            <w:r>
              <w:rPr>
                <w:rFonts w:hint="eastAsia"/>
                <w:color w:val="auto"/>
                <w:highlight w:val="none"/>
                <w:lang w:val="en-US" w:eastAsia="zh-CN"/>
              </w:rPr>
              <w:t>4.</w:t>
            </w:r>
            <w:r>
              <w:rPr>
                <w:rFonts w:hint="eastAsia"/>
                <w:color w:val="auto"/>
                <w:highlight w:val="none"/>
                <w:lang w:eastAsia="zh-CN"/>
              </w:rPr>
              <w:t>供应商</w:t>
            </w:r>
            <w:r>
              <w:rPr>
                <w:rFonts w:hint="eastAsia"/>
                <w:color w:val="auto"/>
                <w:highlight w:val="none"/>
              </w:rPr>
              <w:t>上传</w:t>
            </w:r>
            <w:r>
              <w:rPr>
                <w:rFonts w:hint="eastAsia"/>
                <w:color w:val="auto"/>
                <w:highlight w:val="none"/>
                <w:lang w:eastAsia="zh-CN"/>
              </w:rPr>
              <w:t>响应文件</w:t>
            </w:r>
            <w:r>
              <w:rPr>
                <w:rFonts w:hint="eastAsia"/>
                <w:color w:val="auto"/>
                <w:highlight w:val="none"/>
              </w:rPr>
              <w:t>和解密</w:t>
            </w:r>
            <w:r>
              <w:rPr>
                <w:rFonts w:hint="eastAsia"/>
                <w:color w:val="auto"/>
                <w:highlight w:val="none"/>
                <w:lang w:eastAsia="zh-CN"/>
              </w:rPr>
              <w:t>响应文件</w:t>
            </w:r>
            <w:r>
              <w:rPr>
                <w:rFonts w:hint="eastAsia"/>
                <w:color w:val="auto"/>
                <w:highlight w:val="none"/>
              </w:rPr>
              <w:t>应使用IE9及以上浏览器，因</w:t>
            </w:r>
            <w:r>
              <w:rPr>
                <w:rFonts w:hint="eastAsia"/>
                <w:color w:val="auto"/>
                <w:highlight w:val="none"/>
                <w:lang w:eastAsia="zh-CN"/>
              </w:rPr>
              <w:t>供应商</w:t>
            </w:r>
            <w:r>
              <w:rPr>
                <w:rFonts w:hint="eastAsia"/>
                <w:color w:val="auto"/>
                <w:highlight w:val="none"/>
              </w:rPr>
              <w:t>浏览器、设备或网络原因导致</w:t>
            </w:r>
            <w:r>
              <w:rPr>
                <w:rFonts w:hint="eastAsia"/>
                <w:color w:val="auto"/>
                <w:highlight w:val="none"/>
                <w:lang w:eastAsia="zh-CN"/>
              </w:rPr>
              <w:t>响应文件</w:t>
            </w:r>
            <w:r>
              <w:rPr>
                <w:rFonts w:hint="eastAsia"/>
                <w:color w:val="auto"/>
                <w:highlight w:val="none"/>
              </w:rPr>
              <w:t>上传失败或未按时解密</w:t>
            </w:r>
            <w:r>
              <w:rPr>
                <w:rFonts w:hint="eastAsia"/>
                <w:color w:val="auto"/>
                <w:highlight w:val="none"/>
                <w:lang w:eastAsia="zh-CN"/>
              </w:rPr>
              <w:t>响应文件</w:t>
            </w:r>
            <w:r>
              <w:rPr>
                <w:rFonts w:hint="eastAsia"/>
                <w:color w:val="auto"/>
                <w:highlight w:val="none"/>
              </w:rPr>
              <w:t>的本所不承担任何责任。</w:t>
            </w:r>
            <w:r>
              <w:rPr>
                <w:rFonts w:hint="eastAsia"/>
                <w:color w:val="auto"/>
                <w:highlight w:val="none"/>
                <w:lang w:eastAsia="zh-CN"/>
              </w:rPr>
              <w:t>供应商</w:t>
            </w:r>
            <w:r>
              <w:rPr>
                <w:rFonts w:hint="eastAsia"/>
                <w:color w:val="auto"/>
                <w:highlight w:val="none"/>
              </w:rPr>
              <w:t>制作的</w:t>
            </w:r>
            <w:r>
              <w:rPr>
                <w:rFonts w:hint="eastAsia"/>
                <w:color w:val="auto"/>
                <w:highlight w:val="none"/>
                <w:lang w:eastAsia="zh-CN"/>
              </w:rPr>
              <w:t>响应文件</w:t>
            </w:r>
            <w:r>
              <w:rPr>
                <w:rFonts w:hint="eastAsia"/>
                <w:color w:val="auto"/>
                <w:highlight w:val="none"/>
              </w:rPr>
              <w:t>中所包含的各类型附件（包括但不限于PDF、DOC、JPG等）须为非加密格式，若上传的</w:t>
            </w:r>
            <w:r>
              <w:rPr>
                <w:rFonts w:hint="eastAsia"/>
                <w:color w:val="auto"/>
                <w:highlight w:val="none"/>
                <w:lang w:eastAsia="zh-CN"/>
              </w:rPr>
              <w:t>响应文件</w:t>
            </w:r>
            <w:r>
              <w:rPr>
                <w:rFonts w:hint="eastAsia"/>
                <w:color w:val="auto"/>
                <w:highlight w:val="none"/>
              </w:rPr>
              <w:t>中包含加密格式的附件，导致</w:t>
            </w:r>
            <w:r>
              <w:rPr>
                <w:rFonts w:hint="eastAsia"/>
                <w:color w:val="auto"/>
                <w:highlight w:val="none"/>
                <w:lang w:eastAsia="zh-CN"/>
              </w:rPr>
              <w:t>供应商</w:t>
            </w:r>
            <w:r>
              <w:rPr>
                <w:rFonts w:hint="eastAsia"/>
                <w:color w:val="auto"/>
                <w:highlight w:val="none"/>
              </w:rPr>
              <w:t>所提供的</w:t>
            </w:r>
            <w:r>
              <w:rPr>
                <w:rFonts w:hint="eastAsia"/>
                <w:color w:val="auto"/>
                <w:highlight w:val="none"/>
                <w:lang w:eastAsia="zh-CN"/>
              </w:rPr>
              <w:t>响应文件</w:t>
            </w:r>
            <w:r>
              <w:rPr>
                <w:rFonts w:hint="eastAsia"/>
                <w:color w:val="auto"/>
                <w:highlight w:val="none"/>
              </w:rPr>
              <w:t>读取失败，由此产生的一切后果由</w:t>
            </w:r>
            <w:r>
              <w:rPr>
                <w:rFonts w:hint="eastAsia"/>
                <w:color w:val="auto"/>
                <w:highlight w:val="none"/>
                <w:lang w:eastAsia="zh-CN"/>
              </w:rPr>
              <w:t>供应商</w:t>
            </w:r>
            <w:r>
              <w:rPr>
                <w:rFonts w:hint="eastAsia"/>
                <w:color w:val="auto"/>
                <w:highlight w:val="none"/>
              </w:rPr>
              <w:t>自行承担。</w:t>
            </w:r>
          </w:p>
          <w:p>
            <w:pPr>
              <w:pStyle w:val="34"/>
              <w:adjustRightInd w:val="0"/>
              <w:snapToGrid w:val="0"/>
              <w:spacing w:line="240" w:lineRule="auto"/>
              <w:ind w:left="0" w:firstLine="0"/>
              <w:jc w:val="both"/>
              <w:rPr>
                <w:rFonts w:hint="eastAsia"/>
                <w:color w:val="auto"/>
                <w:highlight w:val="none"/>
              </w:rPr>
            </w:pPr>
            <w:r>
              <w:rPr>
                <w:rFonts w:hint="eastAsia"/>
                <w:color w:val="auto"/>
                <w:highlight w:val="none"/>
                <w:lang w:val="en-US" w:eastAsia="zh-CN"/>
              </w:rPr>
              <w:t>5.</w:t>
            </w:r>
            <w:r>
              <w:rPr>
                <w:rFonts w:hint="eastAsia"/>
                <w:color w:val="auto"/>
                <w:highlight w:val="none"/>
                <w:lang w:eastAsia="zh-CN"/>
              </w:rPr>
              <w:t>供应商</w:t>
            </w:r>
            <w:r>
              <w:rPr>
                <w:rFonts w:hint="eastAsia"/>
                <w:color w:val="auto"/>
                <w:highlight w:val="none"/>
              </w:rPr>
              <w:t>应在</w:t>
            </w:r>
            <w:r>
              <w:rPr>
                <w:rFonts w:hint="eastAsia"/>
                <w:color w:val="auto"/>
                <w:highlight w:val="none"/>
                <w:lang w:eastAsia="zh-CN"/>
              </w:rPr>
              <w:t>响应文件</w:t>
            </w:r>
            <w:r>
              <w:rPr>
                <w:rFonts w:hint="eastAsia"/>
                <w:color w:val="auto"/>
                <w:highlight w:val="none"/>
              </w:rPr>
              <w:t>解密时间内尽早解密</w:t>
            </w:r>
            <w:r>
              <w:rPr>
                <w:rFonts w:hint="eastAsia"/>
                <w:color w:val="auto"/>
                <w:highlight w:val="none"/>
                <w:lang w:eastAsia="zh-CN"/>
              </w:rPr>
              <w:t>响应文件</w:t>
            </w:r>
            <w:r>
              <w:rPr>
                <w:rFonts w:hint="eastAsia"/>
                <w:color w:val="auto"/>
                <w:highlight w:val="none"/>
              </w:rPr>
              <w:t>，因</w:t>
            </w:r>
            <w:r>
              <w:rPr>
                <w:rFonts w:hint="eastAsia"/>
                <w:color w:val="auto"/>
                <w:highlight w:val="none"/>
                <w:lang w:eastAsia="zh-CN"/>
              </w:rPr>
              <w:t>供应商</w:t>
            </w:r>
            <w:r>
              <w:rPr>
                <w:rFonts w:hint="eastAsia"/>
                <w:color w:val="auto"/>
                <w:highlight w:val="none"/>
              </w:rPr>
              <w:t>自身原因造成</w:t>
            </w:r>
            <w:r>
              <w:rPr>
                <w:rFonts w:hint="eastAsia"/>
                <w:color w:val="auto"/>
                <w:highlight w:val="none"/>
                <w:lang w:eastAsia="zh-CN"/>
              </w:rPr>
              <w:t>响应文件</w:t>
            </w:r>
            <w:r>
              <w:rPr>
                <w:rFonts w:hint="eastAsia"/>
                <w:color w:val="auto"/>
                <w:highlight w:val="none"/>
              </w:rPr>
              <w:t>未解密的，视为撤销其</w:t>
            </w:r>
            <w:r>
              <w:rPr>
                <w:rFonts w:hint="eastAsia"/>
                <w:color w:val="auto"/>
                <w:highlight w:val="none"/>
                <w:lang w:eastAsia="zh-CN"/>
              </w:rPr>
              <w:t>响应文件</w:t>
            </w:r>
            <w:r>
              <w:rPr>
                <w:rFonts w:hint="eastAsia"/>
                <w:color w:val="auto"/>
                <w:highlight w:val="none"/>
              </w:rPr>
              <w:t>；因</w:t>
            </w:r>
            <w:r>
              <w:rPr>
                <w:rFonts w:hint="eastAsia"/>
                <w:color w:val="auto"/>
                <w:highlight w:val="none"/>
                <w:lang w:eastAsia="zh-CN"/>
              </w:rPr>
              <w:t>供应商</w:t>
            </w:r>
            <w:r>
              <w:rPr>
                <w:rFonts w:hint="eastAsia"/>
                <w:color w:val="auto"/>
                <w:highlight w:val="none"/>
              </w:rPr>
              <w:t>之外的原因造成</w:t>
            </w:r>
            <w:r>
              <w:rPr>
                <w:rFonts w:hint="eastAsia"/>
                <w:color w:val="auto"/>
                <w:highlight w:val="none"/>
                <w:lang w:eastAsia="zh-CN"/>
              </w:rPr>
              <w:t>响应文件</w:t>
            </w:r>
            <w:r>
              <w:rPr>
                <w:rFonts w:hint="eastAsia"/>
                <w:color w:val="auto"/>
                <w:highlight w:val="none"/>
              </w:rPr>
              <w:t>未解密的，视为撤回其</w:t>
            </w:r>
            <w:r>
              <w:rPr>
                <w:rFonts w:hint="eastAsia"/>
                <w:color w:val="auto"/>
                <w:highlight w:val="none"/>
                <w:lang w:eastAsia="zh-CN"/>
              </w:rPr>
              <w:t>响应文件</w:t>
            </w:r>
            <w:r>
              <w:rPr>
                <w:rFonts w:hint="eastAsia"/>
                <w:color w:val="auto"/>
                <w:highlight w:val="none"/>
              </w:rPr>
              <w:t>。如解密失败，</w:t>
            </w:r>
            <w:r>
              <w:rPr>
                <w:rFonts w:hint="eastAsia"/>
                <w:color w:val="auto"/>
                <w:highlight w:val="none"/>
                <w:lang w:eastAsia="zh-CN"/>
              </w:rPr>
              <w:t>供应商</w:t>
            </w:r>
            <w:r>
              <w:rPr>
                <w:rFonts w:hint="eastAsia"/>
                <w:color w:val="auto"/>
                <w:highlight w:val="none"/>
              </w:rPr>
              <w:t>可在</w:t>
            </w:r>
            <w:r>
              <w:rPr>
                <w:rFonts w:hint="eastAsia"/>
                <w:color w:val="auto"/>
                <w:highlight w:val="none"/>
                <w:lang w:eastAsia="zh-CN"/>
              </w:rPr>
              <w:t>响应文件</w:t>
            </w:r>
            <w:r>
              <w:rPr>
                <w:rFonts w:hint="eastAsia"/>
                <w:color w:val="auto"/>
                <w:highlight w:val="none"/>
              </w:rPr>
              <w:t>解密时间内联系广州农村阳光招采平台。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8" w:hRule="exact"/>
        </w:trPr>
        <w:tc>
          <w:tcPr>
            <w:tcW w:w="1276" w:type="dxa"/>
            <w:noWrap w:val="0"/>
            <w:vAlign w:val="center"/>
          </w:tcPr>
          <w:p>
            <w:pPr>
              <w:tabs>
                <w:tab w:val="left" w:pos="315"/>
                <w:tab w:val="left" w:pos="1785"/>
                <w:tab w:val="left" w:pos="2310"/>
                <w:tab w:val="left" w:pos="8640"/>
              </w:tabs>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一</w:t>
            </w:r>
            <w:r>
              <w:rPr>
                <w:rFonts w:hint="eastAsia" w:ascii="宋体" w:hAnsi="宋体"/>
                <w:b/>
                <w:color w:val="auto"/>
                <w:szCs w:val="21"/>
                <w:highlight w:val="none"/>
              </w:rPr>
              <w:t>）</w:t>
            </w:r>
          </w:p>
        </w:tc>
        <w:tc>
          <w:tcPr>
            <w:tcW w:w="7904" w:type="dxa"/>
            <w:noWrap w:val="0"/>
            <w:vAlign w:val="center"/>
          </w:tcPr>
          <w:p>
            <w:pPr>
              <w:tabs>
                <w:tab w:val="left" w:pos="1785"/>
                <w:tab w:val="left" w:pos="2310"/>
                <w:tab w:val="left" w:pos="8640"/>
              </w:tabs>
              <w:adjustRightInd w:val="0"/>
              <w:snapToGrid w:val="0"/>
              <w:jc w:val="both"/>
              <w:rPr>
                <w:rFonts w:hint="eastAsia" w:ascii="宋体" w:hAnsi="宋体"/>
                <w:color w:val="auto"/>
                <w:szCs w:val="21"/>
                <w:highlight w:val="none"/>
              </w:rPr>
            </w:pPr>
            <w:r>
              <w:rPr>
                <w:rFonts w:hint="eastAsia" w:ascii="宋体" w:hAnsi="宋体"/>
                <w:color w:val="auto"/>
                <w:szCs w:val="21"/>
                <w:highlight w:val="none"/>
              </w:rPr>
              <w:t>响应文件报价：</w:t>
            </w:r>
          </w:p>
          <w:p>
            <w:pPr>
              <w:tabs>
                <w:tab w:val="left" w:pos="315"/>
                <w:tab w:val="left" w:pos="1785"/>
                <w:tab w:val="left" w:pos="2310"/>
                <w:tab w:val="left" w:pos="8640"/>
              </w:tabs>
              <w:adjustRightInd w:val="0"/>
              <w:snapToGrid w:val="0"/>
              <w:jc w:val="both"/>
              <w:rPr>
                <w:rFonts w:hint="eastAsia" w:ascii="宋体" w:hAnsi="宋体"/>
                <w:bCs/>
                <w:color w:val="auto"/>
                <w:szCs w:val="21"/>
                <w:highlight w:val="none"/>
              </w:rPr>
            </w:pPr>
            <w:r>
              <w:rPr>
                <w:rFonts w:hint="eastAsia" w:ascii="宋体" w:hAnsi="宋体"/>
                <w:bCs/>
                <w:color w:val="auto"/>
                <w:szCs w:val="21"/>
                <w:highlight w:val="none"/>
              </w:rPr>
              <w:t>（1）本项目采购预算（最高限价）：见《第一章供应商邀请函》。报价如超出采购预算（最高限价），将导致响应无效。</w:t>
            </w:r>
          </w:p>
          <w:p>
            <w:pPr>
              <w:tabs>
                <w:tab w:val="left" w:pos="315"/>
                <w:tab w:val="left" w:pos="1785"/>
                <w:tab w:val="left" w:pos="2310"/>
                <w:tab w:val="left" w:pos="8640"/>
              </w:tabs>
              <w:adjustRightInd w:val="0"/>
              <w:snapToGrid w:val="0"/>
              <w:jc w:val="both"/>
              <w:rPr>
                <w:rFonts w:ascii="宋体" w:hAnsi="宋体"/>
                <w:b/>
                <w:color w:val="auto"/>
                <w:szCs w:val="21"/>
                <w:highlight w:val="none"/>
              </w:rPr>
            </w:pPr>
            <w:r>
              <w:rPr>
                <w:rFonts w:hint="eastAsia" w:ascii="宋体" w:hAnsi="宋体"/>
                <w:b/>
                <w:color w:val="auto"/>
                <w:szCs w:val="21"/>
                <w:highlight w:val="none"/>
              </w:rPr>
              <w:t>（2）本项目采用</w:t>
            </w:r>
            <w:r>
              <w:rPr>
                <w:rFonts w:hint="eastAsia" w:ascii="宋体" w:hAnsi="宋体"/>
                <w:b/>
                <w:color w:val="auto"/>
                <w:szCs w:val="21"/>
                <w:highlight w:val="none"/>
                <w:lang w:val="en-US" w:eastAsia="zh-CN"/>
              </w:rPr>
              <w:t>单</w:t>
            </w:r>
            <w:r>
              <w:rPr>
                <w:rFonts w:hint="eastAsia" w:ascii="宋体" w:hAnsi="宋体"/>
                <w:b/>
                <w:color w:val="auto"/>
                <w:szCs w:val="21"/>
                <w:highlight w:val="none"/>
              </w:rPr>
              <w:t>价包干形式，报价</w:t>
            </w:r>
            <w:r>
              <w:rPr>
                <w:rFonts w:hint="eastAsia" w:ascii="宋体" w:hAnsi="宋体"/>
                <w:b/>
                <w:color w:val="auto"/>
                <w:szCs w:val="21"/>
                <w:highlight w:val="none"/>
                <w:lang w:val="en-US" w:eastAsia="zh-CN"/>
              </w:rPr>
              <w:t>包括</w:t>
            </w:r>
            <w:r>
              <w:rPr>
                <w:rFonts w:hint="eastAsia" w:ascii="宋体" w:hAnsi="宋体" w:eastAsia="宋体" w:cs="Times New Roman"/>
                <w:b/>
                <w:color w:val="auto"/>
                <w:szCs w:val="21"/>
                <w:highlight w:val="none"/>
                <w:lang w:val="zh-CN"/>
              </w:rPr>
              <w:t>履行合同所有相关服务所需的费用、保险费、各种税费、其他一切隐含及不可预见的费用等</w:t>
            </w:r>
            <w:r>
              <w:rPr>
                <w:rFonts w:hint="eastAsia" w:ascii="宋体" w:hAnsi="宋体" w:eastAsia="宋体" w:cs="Times New Roman"/>
                <w:b/>
                <w:color w:val="auto"/>
                <w:szCs w:val="21"/>
                <w:highlight w:val="none"/>
              </w:rPr>
              <w:t>。</w:t>
            </w:r>
            <w:r>
              <w:rPr>
                <w:rFonts w:hint="eastAsia" w:ascii="宋体" w:hAnsi="宋体"/>
                <w:b/>
                <w:color w:val="auto"/>
                <w:szCs w:val="21"/>
                <w:highlight w:val="none"/>
              </w:rPr>
              <w:t>供应商的报价已包含完成本采购文件规定的一切费用，结算价不因投供应商报价清单中的缺漏项而予以变更。</w:t>
            </w:r>
          </w:p>
          <w:p>
            <w:pPr>
              <w:tabs>
                <w:tab w:val="left" w:pos="1785"/>
                <w:tab w:val="left" w:pos="2310"/>
                <w:tab w:val="left" w:pos="8640"/>
              </w:tabs>
              <w:adjustRightInd w:val="0"/>
              <w:snapToGrid w:val="0"/>
              <w:jc w:val="both"/>
              <w:rPr>
                <w:rFonts w:hint="eastAsia" w:ascii="宋体" w:hAnsi="宋体"/>
                <w:bCs/>
                <w:color w:val="auto"/>
                <w:szCs w:val="21"/>
                <w:highlight w:val="none"/>
              </w:rPr>
            </w:pPr>
            <w:r>
              <w:rPr>
                <w:rFonts w:hint="eastAsia" w:ascii="宋体" w:hAnsi="宋体"/>
                <w:bCs/>
                <w:color w:val="auto"/>
                <w:szCs w:val="21"/>
                <w:highlight w:val="none"/>
              </w:rPr>
              <w:t>（3）响应文件报价是否唯一：是。</w:t>
            </w:r>
          </w:p>
          <w:p>
            <w:pPr>
              <w:tabs>
                <w:tab w:val="left" w:pos="1785"/>
                <w:tab w:val="left" w:pos="2310"/>
                <w:tab w:val="left" w:pos="8640"/>
              </w:tabs>
              <w:adjustRightInd w:val="0"/>
              <w:snapToGrid w:val="0"/>
              <w:jc w:val="both"/>
              <w:rPr>
                <w:rFonts w:hint="eastAsia" w:ascii="宋体" w:hAnsi="宋体"/>
                <w:color w:val="auto"/>
                <w:szCs w:val="21"/>
                <w:highlight w:val="none"/>
              </w:rPr>
            </w:pPr>
            <w:r>
              <w:rPr>
                <w:rFonts w:hint="eastAsia" w:ascii="宋体" w:hAnsi="宋体"/>
                <w:bCs/>
                <w:color w:val="auto"/>
                <w:szCs w:val="21"/>
                <w:highlight w:val="none"/>
              </w:rPr>
              <w:t>（4）磋商小组认为，供应商的报价明显不合理或者明显低于其他报价，有可能影响商品质量和不能诚信履约的，应当要求该供应商作出书面说明并提供相关证明材料。供应商不能合理说明或者不能提供相关证明材料的，由磋商小组认定该供应商以低于成本报价竞标，响应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1276" w:type="dxa"/>
            <w:noWrap w:val="0"/>
            <w:vAlign w:val="center"/>
          </w:tcPr>
          <w:p>
            <w:pPr>
              <w:tabs>
                <w:tab w:val="left" w:pos="315"/>
                <w:tab w:val="left" w:pos="1785"/>
                <w:tab w:val="left" w:pos="2310"/>
                <w:tab w:val="left" w:pos="8640"/>
              </w:tabs>
              <w:adjustRightInd w:val="0"/>
              <w:snapToGrid w:val="0"/>
              <w:ind w:right="-48"/>
              <w:jc w:val="center"/>
              <w:rPr>
                <w:rFonts w:ascii="宋体" w:hAnsi="宋体"/>
                <w:b/>
                <w:color w:val="auto"/>
                <w:szCs w:val="21"/>
                <w:highlight w:val="none"/>
              </w:rPr>
            </w:pPr>
            <w:r>
              <w:rPr>
                <w:rFonts w:hint="eastAsia" w:ascii="宋体" w:hAnsi="宋体"/>
                <w:b/>
                <w:color w:val="auto"/>
                <w:szCs w:val="21"/>
                <w:highlight w:val="none"/>
              </w:rPr>
              <w:t>（七）</w:t>
            </w:r>
          </w:p>
        </w:tc>
        <w:tc>
          <w:tcPr>
            <w:tcW w:w="7904" w:type="dxa"/>
            <w:noWrap w:val="0"/>
            <w:vAlign w:val="center"/>
          </w:tcPr>
          <w:p>
            <w:pPr>
              <w:tabs>
                <w:tab w:val="left" w:pos="315"/>
                <w:tab w:val="left" w:pos="1785"/>
                <w:tab w:val="left" w:pos="2310"/>
                <w:tab w:val="left" w:pos="8640"/>
              </w:tabs>
              <w:adjustRightInd w:val="0"/>
              <w:snapToGrid w:val="0"/>
              <w:jc w:val="both"/>
              <w:rPr>
                <w:rFonts w:ascii="宋体" w:hAnsi="宋体"/>
                <w:color w:val="auto"/>
                <w:kern w:val="2"/>
                <w:szCs w:val="21"/>
                <w:highlight w:val="none"/>
              </w:rPr>
            </w:pPr>
            <w:r>
              <w:rPr>
                <w:rFonts w:hint="eastAsia" w:ascii="宋体" w:hAnsi="宋体"/>
                <w:color w:val="auto"/>
                <w:szCs w:val="21"/>
                <w:highlight w:val="none"/>
              </w:rPr>
              <w:t>响应有效期：自响应文件递交截止之日后</w:t>
            </w:r>
            <w:r>
              <w:rPr>
                <w:rFonts w:hint="eastAsia" w:ascii="宋体" w:hAnsi="宋体"/>
                <w:color w:val="auto"/>
                <w:szCs w:val="21"/>
                <w:highlight w:val="none"/>
                <w:lang w:val="en-US" w:eastAsia="zh-CN"/>
              </w:rPr>
              <w:t>9</w:t>
            </w:r>
            <w:r>
              <w:rPr>
                <w:rFonts w:hint="eastAsia" w:ascii="宋体" w:hAnsi="宋体"/>
                <w:color w:val="auto"/>
                <w:szCs w:val="21"/>
                <w:highlight w:val="none"/>
              </w:rPr>
              <w:t>0天</w:t>
            </w:r>
            <w:r>
              <w:rPr>
                <w:rFonts w:ascii="宋体" w:hAnsi="宋体"/>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5" w:hRule="exact"/>
        </w:trPr>
        <w:tc>
          <w:tcPr>
            <w:tcW w:w="1276" w:type="dxa"/>
            <w:noWrap w:val="0"/>
            <w:vAlign w:val="center"/>
          </w:tcPr>
          <w:p>
            <w:pPr>
              <w:tabs>
                <w:tab w:val="left" w:pos="72"/>
                <w:tab w:val="left" w:pos="1785"/>
                <w:tab w:val="left" w:pos="2310"/>
                <w:tab w:val="left" w:pos="8640"/>
              </w:tabs>
              <w:adjustRightInd w:val="0"/>
              <w:snapToGrid w:val="0"/>
              <w:ind w:right="-76"/>
              <w:jc w:val="center"/>
              <w:rPr>
                <w:rFonts w:ascii="宋体" w:hAnsi="宋体"/>
                <w:b/>
                <w:color w:val="auto"/>
                <w:szCs w:val="21"/>
                <w:highlight w:val="none"/>
              </w:rPr>
            </w:pPr>
            <w:r>
              <w:rPr>
                <w:rFonts w:hint="eastAsia" w:ascii="宋体" w:hAnsi="宋体"/>
                <w:b/>
                <w:color w:val="auto"/>
                <w:szCs w:val="21"/>
                <w:highlight w:val="none"/>
              </w:rPr>
              <w:t>（八）</w:t>
            </w:r>
          </w:p>
        </w:tc>
        <w:tc>
          <w:tcPr>
            <w:tcW w:w="7904" w:type="dxa"/>
            <w:noWrap w:val="0"/>
            <w:vAlign w:val="center"/>
          </w:tcPr>
          <w:p>
            <w:pPr>
              <w:numPr>
                <w:ilvl w:val="0"/>
                <w:numId w:val="0"/>
              </w:numPr>
              <w:tabs>
                <w:tab w:val="left" w:pos="315"/>
                <w:tab w:val="left" w:pos="1785"/>
                <w:tab w:val="left" w:pos="2310"/>
                <w:tab w:val="left" w:pos="8640"/>
              </w:tabs>
              <w:adjustRightInd w:val="0"/>
              <w:snapToGrid w:val="0"/>
              <w:ind w:left="210" w:leftChars="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1.保证金须在20   年  月  日   :00前划达以下账号，否则为无效保证金。汇款时请注明所投项目名称。</w:t>
            </w:r>
          </w:p>
          <w:p>
            <w:pPr>
              <w:numPr>
                <w:ilvl w:val="0"/>
                <w:numId w:val="0"/>
              </w:numPr>
              <w:tabs>
                <w:tab w:val="left" w:pos="315"/>
                <w:tab w:val="left" w:pos="1785"/>
                <w:tab w:val="left" w:pos="2310"/>
                <w:tab w:val="left" w:pos="8640"/>
              </w:tabs>
              <w:adjustRightInd w:val="0"/>
              <w:snapToGrid w:val="0"/>
              <w:ind w:left="210" w:leftChars="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2.响应保证金缴交账户信息如下:</w:t>
            </w:r>
          </w:p>
          <w:p>
            <w:pPr>
              <w:numPr>
                <w:ilvl w:val="0"/>
                <w:numId w:val="0"/>
              </w:numPr>
              <w:tabs>
                <w:tab w:val="left" w:pos="315"/>
                <w:tab w:val="left" w:pos="1785"/>
                <w:tab w:val="left" w:pos="2310"/>
                <w:tab w:val="left" w:pos="8640"/>
              </w:tabs>
              <w:adjustRightInd w:val="0"/>
              <w:snapToGrid w:val="0"/>
              <w:ind w:left="210" w:leftChars="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3.户  名：广州农村产权交易所有限公司</w:t>
            </w:r>
          </w:p>
          <w:p>
            <w:pPr>
              <w:numPr>
                <w:ilvl w:val="0"/>
                <w:numId w:val="0"/>
              </w:numPr>
              <w:tabs>
                <w:tab w:val="left" w:pos="315"/>
                <w:tab w:val="left" w:pos="1785"/>
                <w:tab w:val="left" w:pos="2310"/>
                <w:tab w:val="left" w:pos="8640"/>
              </w:tabs>
              <w:adjustRightInd w:val="0"/>
              <w:snapToGrid w:val="0"/>
              <w:ind w:left="210" w:leftChars="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4.帐  号：15000036877506</w:t>
            </w:r>
          </w:p>
          <w:p>
            <w:pPr>
              <w:numPr>
                <w:ilvl w:val="0"/>
                <w:numId w:val="0"/>
              </w:numPr>
              <w:tabs>
                <w:tab w:val="left" w:pos="315"/>
                <w:tab w:val="left" w:pos="1785"/>
                <w:tab w:val="left" w:pos="2310"/>
                <w:tab w:val="left" w:pos="8640"/>
              </w:tabs>
              <w:adjustRightInd w:val="0"/>
              <w:snapToGrid w:val="0"/>
              <w:ind w:left="210" w:leftChars="0"/>
              <w:jc w:val="both"/>
              <w:rPr>
                <w:color w:val="auto"/>
                <w:highlight w:val="none"/>
              </w:rPr>
            </w:pPr>
            <w:r>
              <w:rPr>
                <w:rFonts w:hint="eastAsia" w:ascii="Times New Roman" w:hAnsi="Times New Roman" w:eastAsia="宋体" w:cs="Times New Roman"/>
                <w:color w:val="auto"/>
                <w:highlight w:val="none"/>
                <w:lang w:val="en-US" w:eastAsia="zh-CN"/>
              </w:rPr>
              <w:t>5.开户行：平安银行广州越秀支行</w:t>
            </w:r>
          </w:p>
        </w:tc>
      </w:tr>
    </w:tbl>
    <w:p>
      <w:pPr>
        <w:pStyle w:val="7"/>
        <w:rPr>
          <w:rFonts w:hAnsi="宋体"/>
          <w:color w:val="auto"/>
          <w:sz w:val="21"/>
          <w:szCs w:val="21"/>
          <w:highlight w:val="none"/>
        </w:rPr>
      </w:pPr>
      <w:r>
        <w:rPr>
          <w:rFonts w:hAnsi="宋体"/>
          <w:color w:val="auto"/>
          <w:sz w:val="21"/>
          <w:szCs w:val="21"/>
          <w:highlight w:val="none"/>
        </w:rPr>
        <w:br w:type="page"/>
      </w:r>
      <w:bookmarkStart w:id="45" w:name="_Toc29225"/>
      <w:bookmarkStart w:id="46" w:name="_Toc509392316"/>
      <w:bookmarkStart w:id="47" w:name="_Toc2074413"/>
      <w:r>
        <w:rPr>
          <w:rFonts w:hint="eastAsia" w:hAnsi="宋体"/>
          <w:b/>
          <w:color w:val="auto"/>
          <w:sz w:val="24"/>
          <w:szCs w:val="24"/>
          <w:highlight w:val="none"/>
        </w:rPr>
        <w:t>供应商须知</w:t>
      </w:r>
      <w:bookmarkEnd w:id="45"/>
      <w:bookmarkEnd w:id="46"/>
      <w:bookmarkEnd w:id="47"/>
    </w:p>
    <w:p>
      <w:pPr>
        <w:spacing w:after="120" w:afterLines="50" w:line="360" w:lineRule="auto"/>
        <w:ind w:firstLine="371" w:firstLineChars="177"/>
        <w:rPr>
          <w:rFonts w:ascii="宋体" w:hAnsi="宋体" w:cs="Arial"/>
          <w:color w:val="auto"/>
          <w:szCs w:val="21"/>
          <w:highlight w:val="none"/>
        </w:rPr>
      </w:pPr>
      <w:r>
        <w:rPr>
          <w:rFonts w:hint="eastAsia" w:ascii="宋体" w:hAnsi="宋体" w:cs="Arial"/>
          <w:color w:val="auto"/>
          <w:szCs w:val="21"/>
          <w:highlight w:val="none"/>
        </w:rPr>
        <w:t>供应商必须认真阅读采购文件中所有的事项、格式、条款和采购人需求等。供应商没有按照采购文件要求提交全部资料，或者响应文件没有对采购文件在各方面都做出实质性响应是供应商的风险，并可能导致其无效响应或被拒绝。</w:t>
      </w:r>
    </w:p>
    <w:p>
      <w:pPr>
        <w:pStyle w:val="8"/>
        <w:rPr>
          <w:rFonts w:hAnsi="宋体"/>
          <w:b/>
          <w:color w:val="auto"/>
          <w:sz w:val="24"/>
          <w:szCs w:val="24"/>
          <w:highlight w:val="none"/>
        </w:rPr>
      </w:pPr>
      <w:bookmarkStart w:id="48" w:name="_Toc504688275"/>
      <w:bookmarkStart w:id="49" w:name="_Toc504694643"/>
      <w:bookmarkStart w:id="50" w:name="_Toc479157885"/>
      <w:bookmarkStart w:id="51" w:name="_Toc175644386"/>
      <w:r>
        <w:rPr>
          <w:rFonts w:hint="eastAsia" w:hAnsi="宋体"/>
          <w:b/>
          <w:color w:val="auto"/>
          <w:sz w:val="24"/>
          <w:szCs w:val="24"/>
          <w:highlight w:val="none"/>
        </w:rPr>
        <w:t>一、定义</w:t>
      </w:r>
      <w:bookmarkEnd w:id="48"/>
      <w:bookmarkEnd w:id="49"/>
      <w:bookmarkEnd w:id="50"/>
    </w:p>
    <w:p>
      <w:pPr>
        <w:numPr>
          <w:ilvl w:val="0"/>
          <w:numId w:val="3"/>
        </w:numPr>
        <w:spacing w:line="360" w:lineRule="auto"/>
        <w:ind w:left="0" w:firstLine="420" w:firstLineChars="200"/>
        <w:rPr>
          <w:rFonts w:ascii="宋体" w:hAnsi="宋体" w:cs="Arial"/>
          <w:color w:val="auto"/>
          <w:szCs w:val="21"/>
          <w:highlight w:val="none"/>
        </w:rPr>
      </w:pPr>
      <w:bookmarkStart w:id="52" w:name="_Toc479157886"/>
      <w:r>
        <w:rPr>
          <w:rFonts w:hint="eastAsia" w:ascii="宋体" w:hAnsi="宋体" w:cs="Arial"/>
          <w:color w:val="auto"/>
          <w:szCs w:val="21"/>
          <w:highlight w:val="none"/>
        </w:rPr>
        <w:t>采购人/采购方/甲方：是指依法进行采购的国家机关、企事业单位、社团组织或其他依法成立的单位组织</w:t>
      </w:r>
      <w:bookmarkEnd w:id="52"/>
      <w:r>
        <w:rPr>
          <w:rFonts w:hint="eastAsia" w:ascii="宋体" w:hAnsi="宋体" w:cs="Arial"/>
          <w:color w:val="auto"/>
          <w:szCs w:val="21"/>
          <w:highlight w:val="none"/>
        </w:rPr>
        <w:t>, 采购环节称为采购人/采购方，在合同签订及履约阶段转为甲方。</w:t>
      </w:r>
    </w:p>
    <w:p>
      <w:pPr>
        <w:numPr>
          <w:ilvl w:val="0"/>
          <w:numId w:val="3"/>
        </w:numPr>
        <w:spacing w:line="360" w:lineRule="auto"/>
        <w:ind w:left="0" w:firstLine="420" w:firstLineChars="200"/>
        <w:rPr>
          <w:rFonts w:ascii="宋体" w:hAnsi="宋体" w:cs="Arial"/>
          <w:color w:val="auto"/>
          <w:szCs w:val="21"/>
          <w:highlight w:val="none"/>
        </w:rPr>
      </w:pPr>
      <w:bookmarkStart w:id="53" w:name="_Toc479157887"/>
      <w:r>
        <w:rPr>
          <w:rFonts w:hint="eastAsia" w:ascii="宋体" w:hAnsi="宋体" w:cs="Arial"/>
          <w:color w:val="auto"/>
          <w:szCs w:val="21"/>
          <w:highlight w:val="none"/>
        </w:rPr>
        <w:t>采购代理机构：采购代理机构是依法设立、从事采购代理业务并提供相关服务的社会中介组织。</w:t>
      </w:r>
      <w:bookmarkEnd w:id="53"/>
    </w:p>
    <w:p>
      <w:pPr>
        <w:numPr>
          <w:ilvl w:val="0"/>
          <w:numId w:val="3"/>
        </w:numPr>
        <w:spacing w:line="360" w:lineRule="auto"/>
        <w:ind w:left="0" w:firstLine="420" w:firstLineChars="200"/>
        <w:rPr>
          <w:rFonts w:hint="eastAsia" w:ascii="宋体" w:hAnsi="宋体" w:cs="Arial"/>
          <w:color w:val="auto"/>
          <w:szCs w:val="21"/>
          <w:highlight w:val="none"/>
        </w:rPr>
      </w:pPr>
      <w:bookmarkStart w:id="54" w:name="_Toc479157888"/>
      <w:r>
        <w:rPr>
          <w:rFonts w:hint="eastAsia" w:ascii="宋体" w:hAnsi="宋体" w:cs="Arial"/>
          <w:color w:val="auto"/>
          <w:szCs w:val="21"/>
          <w:highlight w:val="none"/>
        </w:rPr>
        <w:t>供应商/报价人/乙方：是响应磋商邀请、参加报价竞争的法人或者其他组织或者自然人</w:t>
      </w:r>
      <w:bookmarkEnd w:id="54"/>
      <w:r>
        <w:rPr>
          <w:rFonts w:hint="eastAsia" w:ascii="宋体" w:hAnsi="宋体" w:cs="Arial"/>
          <w:color w:val="auto"/>
          <w:szCs w:val="21"/>
          <w:highlight w:val="none"/>
        </w:rPr>
        <w:t>，采购环节称为供应商/报价人，在合同签订及履约阶段转为乙方。</w:t>
      </w:r>
    </w:p>
    <w:p>
      <w:pPr>
        <w:numPr>
          <w:ilvl w:val="0"/>
          <w:numId w:val="3"/>
        </w:numPr>
        <w:spacing w:line="360" w:lineRule="auto"/>
        <w:ind w:left="0" w:firstLine="420" w:firstLineChars="200"/>
        <w:rPr>
          <w:rFonts w:ascii="宋体" w:hAnsi="宋体" w:cs="Arial"/>
          <w:color w:val="auto"/>
          <w:szCs w:val="21"/>
          <w:highlight w:val="none"/>
        </w:rPr>
      </w:pPr>
      <w:r>
        <w:rPr>
          <w:rFonts w:hint="eastAsia" w:ascii="宋体" w:hAnsi="宋体" w:cs="Arial"/>
          <w:color w:val="auto"/>
          <w:szCs w:val="21"/>
          <w:highlight w:val="none"/>
        </w:rPr>
        <w:t>成交供应商：是指经法定程序确定并授予合同的供应商。</w:t>
      </w:r>
    </w:p>
    <w:p>
      <w:pPr>
        <w:numPr>
          <w:ilvl w:val="0"/>
          <w:numId w:val="3"/>
        </w:numPr>
        <w:spacing w:line="360" w:lineRule="auto"/>
        <w:ind w:left="0" w:firstLine="420" w:firstLineChars="200"/>
        <w:rPr>
          <w:rFonts w:ascii="宋体" w:hAnsi="宋体" w:cs="Arial"/>
          <w:color w:val="auto"/>
          <w:szCs w:val="21"/>
          <w:highlight w:val="none"/>
        </w:rPr>
      </w:pPr>
      <w:bookmarkStart w:id="55" w:name="_Toc479157889"/>
      <w:r>
        <w:rPr>
          <w:rFonts w:hint="eastAsia" w:ascii="宋体" w:hAnsi="宋体" w:cs="Arial"/>
          <w:color w:val="auto"/>
          <w:szCs w:val="21"/>
          <w:highlight w:val="none"/>
        </w:rPr>
        <w:t>采购合同：是指由采购人和供应商签订的规定双方权利和义务的协议。</w:t>
      </w:r>
      <w:bookmarkEnd w:id="55"/>
    </w:p>
    <w:p>
      <w:pPr>
        <w:numPr>
          <w:ilvl w:val="0"/>
          <w:numId w:val="3"/>
        </w:numPr>
        <w:spacing w:line="360" w:lineRule="auto"/>
        <w:ind w:left="0" w:firstLine="420" w:firstLineChars="200"/>
        <w:rPr>
          <w:rFonts w:hint="eastAsia" w:ascii="宋体" w:hAnsi="宋体" w:cs="Arial"/>
          <w:color w:val="auto"/>
          <w:szCs w:val="21"/>
          <w:highlight w:val="none"/>
        </w:rPr>
      </w:pPr>
      <w:r>
        <w:rPr>
          <w:rFonts w:hint="eastAsia" w:ascii="宋体" w:hAnsi="宋体" w:cs="Arial"/>
          <w:color w:val="auto"/>
          <w:szCs w:val="21"/>
          <w:highlight w:val="none"/>
        </w:rPr>
        <w:t>电子签名和电子签章：是指电子认证服务机构签发的电子签名认证证书和电子签章，供应商应当到上述服务机构（广州农村阳光招采平台）办理。电子签名及电子签章与手写签名或者盖章具有同等的法律效力。</w:t>
      </w:r>
    </w:p>
    <w:p>
      <w:pPr>
        <w:pStyle w:val="8"/>
        <w:rPr>
          <w:rFonts w:hAnsi="宋体"/>
          <w:b/>
          <w:color w:val="auto"/>
          <w:sz w:val="24"/>
          <w:szCs w:val="24"/>
          <w:highlight w:val="none"/>
        </w:rPr>
      </w:pPr>
      <w:bookmarkStart w:id="56" w:name="_Toc504694644"/>
      <w:bookmarkStart w:id="57" w:name="_Toc479157890"/>
      <w:bookmarkStart w:id="58" w:name="_Toc504688276"/>
      <w:r>
        <w:rPr>
          <w:rFonts w:hint="eastAsia" w:hAnsi="宋体"/>
          <w:b/>
          <w:color w:val="auto"/>
          <w:sz w:val="24"/>
          <w:szCs w:val="24"/>
          <w:highlight w:val="none"/>
        </w:rPr>
        <w:t>二、一般要求</w:t>
      </w:r>
      <w:bookmarkEnd w:id="51"/>
      <w:bookmarkEnd w:id="56"/>
      <w:bookmarkEnd w:id="57"/>
      <w:bookmarkEnd w:id="58"/>
    </w:p>
    <w:p>
      <w:pPr>
        <w:numPr>
          <w:ilvl w:val="0"/>
          <w:numId w:val="4"/>
        </w:numPr>
        <w:spacing w:line="360" w:lineRule="auto"/>
        <w:ind w:left="208" w:firstLine="422"/>
        <w:rPr>
          <w:rFonts w:ascii="宋体" w:hAnsi="宋体" w:cs="Arial"/>
          <w:b/>
          <w:color w:val="auto"/>
          <w:szCs w:val="21"/>
          <w:highlight w:val="none"/>
        </w:rPr>
      </w:pPr>
      <w:bookmarkStart w:id="59" w:name="_Toc98579055"/>
      <w:bookmarkStart w:id="60" w:name="_Toc98578997"/>
      <w:bookmarkStart w:id="61" w:name="_Toc134956120"/>
      <w:bookmarkStart w:id="62" w:name="_Toc98580279"/>
      <w:bookmarkStart w:id="63" w:name="_Toc42394659"/>
      <w:bookmarkStart w:id="64" w:name="_Toc42394502"/>
      <w:bookmarkStart w:id="65" w:name="_Toc50276143"/>
      <w:bookmarkStart w:id="66" w:name="_Toc101843113"/>
      <w:bookmarkStart w:id="67" w:name="_Toc42313157"/>
      <w:bookmarkStart w:id="68" w:name="_Toc98579596"/>
      <w:bookmarkStart w:id="69" w:name="_Toc101775113"/>
      <w:bookmarkStart w:id="70" w:name="_Toc101771360"/>
      <w:bookmarkStart w:id="71" w:name="_Toc101951246"/>
      <w:r>
        <w:rPr>
          <w:rFonts w:hint="eastAsia" w:ascii="宋体" w:hAnsi="宋体" w:cs="Arial"/>
          <w:b/>
          <w:color w:val="auto"/>
          <w:szCs w:val="21"/>
          <w:highlight w:val="none"/>
        </w:rPr>
        <w:t>服务费</w:t>
      </w:r>
    </w:p>
    <w:p>
      <w:pPr>
        <w:pStyle w:val="9"/>
        <w:ind w:firstLine="420" w:firstLineChars="200"/>
        <w:rPr>
          <w:rFonts w:hAnsi="宋体"/>
          <w:color w:val="auto"/>
          <w:szCs w:val="21"/>
          <w:highlight w:val="none"/>
        </w:rPr>
      </w:pPr>
      <w:bookmarkStart w:id="72" w:name="_Toc479157893"/>
      <w:r>
        <w:rPr>
          <w:rFonts w:hint="eastAsia" w:hAnsi="宋体"/>
          <w:color w:val="auto"/>
          <w:szCs w:val="21"/>
          <w:highlight w:val="none"/>
        </w:rPr>
        <w:t>采购代理机构在</w:t>
      </w:r>
      <w:bookmarkEnd w:id="72"/>
      <w:r>
        <w:rPr>
          <w:rFonts w:hint="eastAsia" w:hAnsi="宋体"/>
          <w:color w:val="auto"/>
          <w:szCs w:val="21"/>
          <w:highlight w:val="none"/>
        </w:rPr>
        <w:t>本项目发出成交通知书前，须向成交供应商收取</w:t>
      </w:r>
      <w:r>
        <w:rPr>
          <w:rFonts w:hint="eastAsia" w:hAnsi="宋体"/>
          <w:color w:val="auto"/>
          <w:szCs w:val="21"/>
          <w:highlight w:val="none"/>
          <w:lang w:val="en-US" w:eastAsia="zh-CN"/>
        </w:rPr>
        <w:t>按国家计委颁布的《招标代理服务收费管理暂行办法》（计价格[2002]1980号）文的标准按服务类招标1.5%计费收取</w:t>
      </w:r>
      <w:r>
        <w:rPr>
          <w:rFonts w:hint="eastAsia" w:hAnsi="宋体"/>
          <w:color w:val="auto"/>
          <w:szCs w:val="21"/>
          <w:highlight w:val="none"/>
        </w:rPr>
        <w:t>成交服务费</w:t>
      </w:r>
      <w:r>
        <w:rPr>
          <w:rFonts w:hint="eastAsia" w:hAnsi="宋体"/>
          <w:color w:val="auto"/>
          <w:szCs w:val="21"/>
          <w:highlight w:val="none"/>
          <w:lang w:eastAsia="zh-CN"/>
        </w:rPr>
        <w:t>，</w:t>
      </w:r>
      <w:r>
        <w:rPr>
          <w:rFonts w:hint="eastAsia" w:hAnsi="宋体"/>
          <w:color w:val="auto"/>
          <w:szCs w:val="21"/>
          <w:highlight w:val="none"/>
          <w:lang w:val="en-US" w:eastAsia="zh-CN"/>
        </w:rPr>
        <w:t>如</w:t>
      </w:r>
      <w:r>
        <w:rPr>
          <w:rFonts w:hint="eastAsia" w:hAnsi="宋体"/>
          <w:color w:val="auto"/>
          <w:szCs w:val="21"/>
          <w:highlight w:val="none"/>
        </w:rPr>
        <w:t>成交服务费</w:t>
      </w:r>
      <w:r>
        <w:rPr>
          <w:rFonts w:hint="eastAsia" w:hAnsi="宋体"/>
          <w:color w:val="auto"/>
          <w:szCs w:val="21"/>
          <w:highlight w:val="none"/>
          <w:lang w:val="en-US" w:eastAsia="zh-CN"/>
        </w:rPr>
        <w:t>不足7000元，则按7000元收取</w:t>
      </w:r>
      <w:r>
        <w:rPr>
          <w:rFonts w:hint="eastAsia" w:hAnsi="宋体"/>
          <w:color w:val="auto"/>
          <w:szCs w:val="21"/>
          <w:highlight w:val="none"/>
        </w:rPr>
        <w:t>。《供应商须知前附表》对成交服务费金额另有约定的，按约定金额执行。</w:t>
      </w:r>
    </w:p>
    <w:p>
      <w:pPr>
        <w:numPr>
          <w:ilvl w:val="0"/>
          <w:numId w:val="4"/>
        </w:numPr>
        <w:spacing w:line="360" w:lineRule="auto"/>
        <w:ind w:left="208" w:firstLine="422"/>
        <w:rPr>
          <w:rFonts w:ascii="宋体" w:hAnsi="宋体" w:cs="Arial"/>
          <w:b/>
          <w:color w:val="auto"/>
          <w:szCs w:val="21"/>
          <w:highlight w:val="none"/>
        </w:rPr>
      </w:pPr>
      <w:bookmarkStart w:id="73" w:name="_Toc479157894"/>
      <w:r>
        <w:rPr>
          <w:rFonts w:hint="eastAsia" w:ascii="宋体" w:hAnsi="宋体" w:cs="Arial"/>
          <w:b/>
          <w:color w:val="auto"/>
          <w:szCs w:val="21"/>
          <w:highlight w:val="none"/>
        </w:rPr>
        <w:t>采购文件的澄清和修改</w:t>
      </w:r>
      <w:bookmarkEnd w:id="59"/>
      <w:bookmarkEnd w:id="60"/>
      <w:bookmarkEnd w:id="61"/>
      <w:bookmarkEnd w:id="62"/>
      <w:bookmarkEnd w:id="63"/>
      <w:bookmarkEnd w:id="64"/>
      <w:bookmarkEnd w:id="65"/>
      <w:bookmarkEnd w:id="66"/>
      <w:bookmarkEnd w:id="67"/>
      <w:bookmarkEnd w:id="68"/>
      <w:bookmarkEnd w:id="69"/>
      <w:bookmarkEnd w:id="70"/>
      <w:bookmarkEnd w:id="71"/>
      <w:bookmarkEnd w:id="73"/>
    </w:p>
    <w:p>
      <w:pPr>
        <w:pStyle w:val="9"/>
        <w:ind w:firstLine="420" w:firstLineChars="200"/>
        <w:rPr>
          <w:rFonts w:hAnsi="宋体"/>
          <w:color w:val="auto"/>
          <w:szCs w:val="21"/>
          <w:highlight w:val="none"/>
        </w:rPr>
      </w:pPr>
      <w:bookmarkStart w:id="74" w:name="_Toc479157895"/>
      <w:r>
        <w:rPr>
          <w:rFonts w:hint="eastAsia" w:hAnsi="宋体"/>
          <w:color w:val="auto"/>
          <w:szCs w:val="21"/>
          <w:highlight w:val="none"/>
        </w:rPr>
        <w:t>1、采购代理机构对采购文件进行必要的澄清或者修改的，于提交首次响应文件截止时间至少</w:t>
      </w:r>
      <w:r>
        <w:rPr>
          <w:rFonts w:hAnsi="宋体"/>
          <w:color w:val="auto"/>
          <w:szCs w:val="21"/>
          <w:highlight w:val="none"/>
        </w:rPr>
        <w:t>5</w:t>
      </w:r>
      <w:r>
        <w:rPr>
          <w:rFonts w:hint="eastAsia" w:hAnsi="宋体"/>
          <w:color w:val="auto"/>
          <w:szCs w:val="21"/>
          <w:highlight w:val="none"/>
        </w:rPr>
        <w:t>日前在相关媒体上发布公告，并通知所有报名及购买采购文件的供应商，报名及购买采购文件的供应商在收到澄清或修改通知后应按要求以书面形式予以确认，该澄清或修改的内容为采购文件的组成部分；澄清或修改不足</w:t>
      </w:r>
      <w:r>
        <w:rPr>
          <w:rFonts w:hAnsi="宋体"/>
          <w:color w:val="auto"/>
          <w:szCs w:val="21"/>
          <w:highlight w:val="none"/>
        </w:rPr>
        <w:t>5</w:t>
      </w:r>
      <w:r>
        <w:rPr>
          <w:rFonts w:hint="eastAsia" w:hAnsi="宋体"/>
          <w:color w:val="auto"/>
          <w:szCs w:val="21"/>
          <w:highlight w:val="none"/>
        </w:rPr>
        <w:t>日的，采购代理机构将顺延提交响应文件的截止时间。已报名购买采购文件的供应商如有异议，必须于提交响应文件截止时间5日前书面向采购代理机构提出。采购代理机构有权拒绝没有对澄清修改文件予以书面确认的供应商的报价。</w:t>
      </w:r>
      <w:bookmarkEnd w:id="74"/>
    </w:p>
    <w:p>
      <w:pPr>
        <w:pStyle w:val="9"/>
        <w:ind w:firstLine="420" w:firstLineChars="200"/>
        <w:rPr>
          <w:rFonts w:hAnsi="宋体"/>
          <w:color w:val="auto"/>
          <w:szCs w:val="21"/>
          <w:highlight w:val="none"/>
        </w:rPr>
      </w:pPr>
      <w:bookmarkStart w:id="75" w:name="_Toc479157896"/>
      <w:r>
        <w:rPr>
          <w:rFonts w:hint="eastAsia" w:hAnsi="宋体"/>
          <w:color w:val="auto"/>
          <w:szCs w:val="21"/>
          <w:highlight w:val="none"/>
        </w:rPr>
        <w:t>2、根据采购的具体情况，采购代理机构可延长报价截止时间和开标时间，但至少应当在规定的报价截止时间3日前，将变更时间在相关媒体上发布公告，并通知已获取采购文件的供应商。</w:t>
      </w:r>
      <w:bookmarkEnd w:id="75"/>
    </w:p>
    <w:p>
      <w:pPr>
        <w:pStyle w:val="9"/>
        <w:ind w:firstLine="420" w:firstLineChars="200"/>
        <w:rPr>
          <w:rFonts w:hAnsi="宋体"/>
          <w:color w:val="auto"/>
          <w:szCs w:val="21"/>
          <w:highlight w:val="none"/>
        </w:rPr>
      </w:pPr>
      <w:bookmarkStart w:id="76" w:name="_Toc479157897"/>
      <w:r>
        <w:rPr>
          <w:rFonts w:hint="eastAsia" w:hAnsi="宋体"/>
          <w:color w:val="auto"/>
          <w:szCs w:val="21"/>
          <w:highlight w:val="none"/>
        </w:rPr>
        <w:t>3、供应商在规定的时间内未对采购文件提出疑问、质疑或要求澄清的，将视其为无异议。对采购文件中描述有歧义或前后不一致的地方，磋商小组有权进行评判，但对同一条款的评判应适用于每个供应商。</w:t>
      </w:r>
      <w:bookmarkEnd w:id="76"/>
    </w:p>
    <w:p>
      <w:pPr>
        <w:numPr>
          <w:ilvl w:val="0"/>
          <w:numId w:val="4"/>
        </w:numPr>
        <w:spacing w:line="360" w:lineRule="auto"/>
        <w:ind w:left="208" w:firstLine="422"/>
        <w:rPr>
          <w:rFonts w:ascii="宋体" w:hAnsi="宋体" w:cs="Arial"/>
          <w:b/>
          <w:color w:val="auto"/>
          <w:szCs w:val="21"/>
          <w:highlight w:val="none"/>
        </w:rPr>
      </w:pPr>
      <w:bookmarkStart w:id="77" w:name="_Toc479157898"/>
      <w:bookmarkStart w:id="78" w:name="_Toc134956121"/>
      <w:r>
        <w:rPr>
          <w:rFonts w:hint="eastAsia" w:ascii="宋体" w:hAnsi="宋体" w:cs="Arial"/>
          <w:b/>
          <w:color w:val="auto"/>
          <w:szCs w:val="21"/>
          <w:highlight w:val="none"/>
        </w:rPr>
        <w:t>知识产权</w:t>
      </w:r>
      <w:bookmarkEnd w:id="77"/>
      <w:bookmarkEnd w:id="78"/>
    </w:p>
    <w:p>
      <w:pPr>
        <w:pStyle w:val="9"/>
        <w:ind w:firstLine="420" w:firstLineChars="200"/>
        <w:rPr>
          <w:rFonts w:hAnsi="宋体"/>
          <w:color w:val="auto"/>
          <w:szCs w:val="21"/>
          <w:highlight w:val="none"/>
        </w:rPr>
      </w:pPr>
      <w:bookmarkStart w:id="79" w:name="_Toc479157899"/>
      <w:r>
        <w:rPr>
          <w:rFonts w:hint="eastAsia" w:hAnsi="宋体"/>
          <w:color w:val="auto"/>
          <w:szCs w:val="21"/>
          <w:highlight w:val="none"/>
        </w:rPr>
        <w:t>1、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79"/>
    </w:p>
    <w:p>
      <w:pPr>
        <w:pStyle w:val="9"/>
        <w:ind w:firstLine="420" w:firstLineChars="200"/>
        <w:rPr>
          <w:rFonts w:hAnsi="宋体"/>
          <w:color w:val="auto"/>
          <w:szCs w:val="21"/>
          <w:highlight w:val="none"/>
        </w:rPr>
      </w:pPr>
      <w:bookmarkStart w:id="80" w:name="_Toc479157900"/>
      <w:r>
        <w:rPr>
          <w:rFonts w:hint="eastAsia" w:hAnsi="宋体"/>
          <w:color w:val="auto"/>
          <w:szCs w:val="21"/>
          <w:highlight w:val="none"/>
        </w:rPr>
        <w:t>2、报价应包含所有应向所有权人支付的专利权、商标权或其它知识产权的一切相关费用。</w:t>
      </w:r>
      <w:bookmarkEnd w:id="80"/>
    </w:p>
    <w:p>
      <w:pPr>
        <w:numPr>
          <w:ilvl w:val="0"/>
          <w:numId w:val="4"/>
        </w:numPr>
        <w:spacing w:line="360" w:lineRule="auto"/>
        <w:ind w:left="208" w:firstLine="422"/>
        <w:rPr>
          <w:rFonts w:ascii="宋体" w:hAnsi="宋体" w:cs="Arial"/>
          <w:b/>
          <w:color w:val="auto"/>
          <w:szCs w:val="21"/>
          <w:highlight w:val="none"/>
        </w:rPr>
      </w:pPr>
      <w:bookmarkStart w:id="81" w:name="_Toc101951247"/>
      <w:bookmarkStart w:id="82" w:name="_Toc101771361"/>
      <w:bookmarkStart w:id="83" w:name="_Toc101843114"/>
      <w:bookmarkStart w:id="84" w:name="_Toc41723918"/>
      <w:bookmarkStart w:id="85" w:name="_Toc98580278"/>
      <w:bookmarkStart w:id="86" w:name="_Toc98578996"/>
      <w:bookmarkStart w:id="87" w:name="_Toc101775114"/>
      <w:bookmarkStart w:id="88" w:name="_Toc98579054"/>
      <w:bookmarkStart w:id="89" w:name="_Toc98579595"/>
      <w:bookmarkStart w:id="90" w:name="_Toc41884688"/>
      <w:bookmarkStart w:id="91" w:name="_Toc479157901"/>
      <w:bookmarkStart w:id="92" w:name="_Toc50276142"/>
      <w:bookmarkStart w:id="93" w:name="_Toc134956122"/>
      <w:bookmarkStart w:id="94" w:name="_Toc42394501"/>
      <w:bookmarkStart w:id="95" w:name="_Toc42394658"/>
      <w:bookmarkStart w:id="96" w:name="_Toc42313156"/>
      <w:r>
        <w:rPr>
          <w:rFonts w:hint="eastAsia" w:ascii="宋体" w:hAnsi="宋体" w:cs="Arial"/>
          <w:b/>
          <w:color w:val="auto"/>
          <w:szCs w:val="21"/>
          <w:highlight w:val="none"/>
        </w:rPr>
        <w:t>纪律与保密事项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9"/>
        <w:ind w:firstLine="420" w:firstLineChars="200"/>
        <w:rPr>
          <w:rFonts w:hAnsi="宋体"/>
          <w:color w:val="auto"/>
          <w:szCs w:val="21"/>
          <w:highlight w:val="none"/>
        </w:rPr>
      </w:pPr>
      <w:bookmarkStart w:id="97" w:name="_Toc479157902"/>
      <w:r>
        <w:rPr>
          <w:rFonts w:hint="eastAsia" w:hAnsi="宋体"/>
          <w:color w:val="auto"/>
          <w:szCs w:val="21"/>
          <w:highlight w:val="none"/>
        </w:rPr>
        <w:t>1、供应商不得相互串通报价，不得妨碍其他供应商的公平竞争，不得损害采购人或其他供应商的合法权益，供应商不得以向采购人、磋商小组成员行贿或者采取其他不正当手段谋取获选。</w:t>
      </w:r>
      <w:bookmarkEnd w:id="97"/>
    </w:p>
    <w:p>
      <w:pPr>
        <w:pStyle w:val="9"/>
        <w:ind w:firstLine="420" w:firstLineChars="200"/>
        <w:rPr>
          <w:rFonts w:hAnsi="宋体"/>
          <w:color w:val="auto"/>
          <w:szCs w:val="21"/>
          <w:highlight w:val="none"/>
        </w:rPr>
      </w:pPr>
      <w:bookmarkStart w:id="98" w:name="_Toc479157903"/>
      <w:r>
        <w:rPr>
          <w:rFonts w:hint="eastAsia" w:hAnsi="宋体"/>
          <w:color w:val="auto"/>
          <w:szCs w:val="21"/>
          <w:highlight w:val="none"/>
        </w:rPr>
        <w:t>2、接受磋商后，直至成交供应商与买方签订合同后止，凡与谈判、审查、澄清、评价、比较意见有关的内容，任何人均不得向供应商及与评审无关的其他人透露。</w:t>
      </w:r>
      <w:bookmarkEnd w:id="98"/>
    </w:p>
    <w:p>
      <w:pPr>
        <w:pStyle w:val="9"/>
        <w:ind w:firstLine="420" w:firstLineChars="200"/>
        <w:rPr>
          <w:rFonts w:hAnsi="宋体"/>
          <w:color w:val="auto"/>
          <w:szCs w:val="21"/>
          <w:highlight w:val="none"/>
        </w:rPr>
      </w:pPr>
      <w:bookmarkStart w:id="99" w:name="_Toc479157904"/>
      <w:r>
        <w:rPr>
          <w:rFonts w:hint="eastAsia" w:hAnsi="宋体"/>
          <w:color w:val="auto"/>
          <w:szCs w:val="21"/>
          <w:highlight w:val="none"/>
        </w:rPr>
        <w:t>3、在确定成交供应商之前，供应商试图在响应文件审查、澄清、比较和评价时对磋商小组、采购人和采购代理机构施加任何影响都可能导致其响应无效。</w:t>
      </w:r>
      <w:bookmarkEnd w:id="99"/>
    </w:p>
    <w:p>
      <w:pPr>
        <w:pStyle w:val="9"/>
        <w:ind w:firstLine="420" w:firstLineChars="200"/>
        <w:rPr>
          <w:rFonts w:hAnsi="宋体"/>
          <w:color w:val="auto"/>
          <w:szCs w:val="21"/>
          <w:highlight w:val="none"/>
        </w:rPr>
      </w:pPr>
      <w:bookmarkStart w:id="100" w:name="_Toc479157905"/>
      <w:r>
        <w:rPr>
          <w:rFonts w:hint="eastAsia" w:hAnsi="宋体"/>
          <w:color w:val="auto"/>
          <w:szCs w:val="21"/>
          <w:highlight w:val="none"/>
        </w:rPr>
        <w:t>4、获得本采购文件者，不得将采购文件用作本次报价以外的任何用途，若有要求，开标后，供应商应归还采购文件中的保密文件和资料。</w:t>
      </w:r>
      <w:bookmarkEnd w:id="100"/>
    </w:p>
    <w:p>
      <w:pPr>
        <w:pStyle w:val="9"/>
        <w:ind w:firstLine="420" w:firstLineChars="200"/>
        <w:rPr>
          <w:rFonts w:hAnsi="宋体"/>
          <w:color w:val="auto"/>
          <w:szCs w:val="21"/>
          <w:highlight w:val="none"/>
        </w:rPr>
      </w:pPr>
      <w:bookmarkStart w:id="101" w:name="_Toc479157906"/>
      <w:r>
        <w:rPr>
          <w:rFonts w:hint="eastAsia" w:hAnsi="宋体"/>
          <w:color w:val="auto"/>
          <w:szCs w:val="21"/>
          <w:highlight w:val="none"/>
        </w:rPr>
        <w:t>5、由采购人向供应商提供的图纸、详细资料、样品、模型、模件和所有其它资料，均为保密资料，仅被用于它所规定的用途。除非得到采购人的同意，不能向任何第三方透露。开标结束后，应采购人要求，供应商应归还所有从采购人处获得的保密资料。</w:t>
      </w:r>
      <w:bookmarkEnd w:id="101"/>
    </w:p>
    <w:p>
      <w:pPr>
        <w:numPr>
          <w:ilvl w:val="0"/>
          <w:numId w:val="4"/>
        </w:numPr>
        <w:spacing w:line="360" w:lineRule="auto"/>
        <w:ind w:left="208" w:firstLine="422"/>
        <w:rPr>
          <w:rFonts w:ascii="宋体" w:hAnsi="宋体" w:cs="Arial"/>
          <w:b/>
          <w:color w:val="auto"/>
          <w:szCs w:val="21"/>
          <w:highlight w:val="none"/>
        </w:rPr>
      </w:pPr>
      <w:bookmarkStart w:id="102" w:name="_Toc479157907"/>
      <w:bookmarkStart w:id="103" w:name="_Toc101775115"/>
      <w:bookmarkStart w:id="104" w:name="_Toc101771362"/>
      <w:bookmarkStart w:id="105" w:name="_Toc101843115"/>
      <w:bookmarkStart w:id="106" w:name="_Toc101951248"/>
      <w:r>
        <w:rPr>
          <w:rFonts w:hint="eastAsia" w:ascii="宋体" w:hAnsi="宋体" w:cs="Arial"/>
          <w:b/>
          <w:color w:val="auto"/>
          <w:szCs w:val="21"/>
          <w:highlight w:val="none"/>
        </w:rPr>
        <w:t>关于关联企业</w:t>
      </w:r>
      <w:bookmarkEnd w:id="102"/>
    </w:p>
    <w:p>
      <w:pPr>
        <w:pStyle w:val="9"/>
        <w:ind w:firstLine="420" w:firstLineChars="200"/>
        <w:rPr>
          <w:rFonts w:hAnsi="宋体"/>
          <w:color w:val="auto"/>
          <w:szCs w:val="21"/>
          <w:highlight w:val="none"/>
        </w:rPr>
      </w:pPr>
      <w:bookmarkStart w:id="107" w:name="_Toc127930780"/>
      <w:bookmarkStart w:id="108" w:name="_Toc134955409"/>
      <w:r>
        <w:rPr>
          <w:rFonts w:hint="eastAsia" w:hAnsi="宋体"/>
          <w:color w:val="auto"/>
          <w:szCs w:val="21"/>
          <w:highlight w:val="none"/>
        </w:rPr>
        <w:t>法定代表人或单位负责人为同一个人或者存在控股、管理关系的不同单位，不得同时参加同一项目包的报价。如同时参加，则评审时将同时被拒绝。</w:t>
      </w:r>
      <w:bookmarkEnd w:id="107"/>
      <w:bookmarkEnd w:id="108"/>
    </w:p>
    <w:p>
      <w:pPr>
        <w:pStyle w:val="8"/>
        <w:rPr>
          <w:rFonts w:hAnsi="宋体"/>
          <w:b/>
          <w:color w:val="auto"/>
          <w:sz w:val="24"/>
          <w:szCs w:val="24"/>
          <w:highlight w:val="none"/>
        </w:rPr>
      </w:pPr>
      <w:bookmarkStart w:id="109" w:name="_Toc504688277"/>
      <w:bookmarkStart w:id="110" w:name="_Toc134956124"/>
      <w:bookmarkStart w:id="111" w:name="_Toc504694645"/>
      <w:bookmarkStart w:id="112" w:name="_Toc479157909"/>
      <w:r>
        <w:rPr>
          <w:rFonts w:hint="eastAsia" w:hAnsi="宋体"/>
          <w:b/>
          <w:color w:val="auto"/>
          <w:sz w:val="24"/>
          <w:szCs w:val="24"/>
          <w:highlight w:val="none"/>
        </w:rPr>
        <w:t>三、询问、质疑与投诉</w:t>
      </w:r>
      <w:bookmarkEnd w:id="109"/>
      <w:bookmarkEnd w:id="110"/>
      <w:bookmarkEnd w:id="111"/>
      <w:bookmarkEnd w:id="112"/>
    </w:p>
    <w:p>
      <w:pPr>
        <w:pStyle w:val="9"/>
        <w:ind w:firstLine="422" w:firstLineChars="200"/>
        <w:rPr>
          <w:rFonts w:hint="eastAsia" w:hAnsi="宋体"/>
          <w:color w:val="auto"/>
          <w:szCs w:val="21"/>
          <w:highlight w:val="none"/>
        </w:rPr>
      </w:pPr>
      <w:bookmarkStart w:id="113" w:name="_Toc134955411"/>
      <w:bookmarkStart w:id="114" w:name="_Toc479157910"/>
      <w:r>
        <w:rPr>
          <w:rFonts w:hint="eastAsia" w:hAnsi="宋体"/>
          <w:b/>
          <w:color w:val="auto"/>
          <w:szCs w:val="21"/>
          <w:highlight w:val="none"/>
        </w:rPr>
        <w:t>（一） 询问</w:t>
      </w:r>
    </w:p>
    <w:p>
      <w:pPr>
        <w:pStyle w:val="9"/>
        <w:ind w:firstLine="420" w:firstLineChars="200"/>
        <w:rPr>
          <w:rFonts w:hint="eastAsia" w:hAnsi="宋体"/>
          <w:color w:val="auto"/>
          <w:szCs w:val="21"/>
          <w:highlight w:val="none"/>
        </w:rPr>
      </w:pPr>
      <w:r>
        <w:rPr>
          <w:rFonts w:hint="eastAsia" w:hAnsi="宋体"/>
          <w:color w:val="auto"/>
          <w:szCs w:val="21"/>
          <w:highlight w:val="none"/>
        </w:rPr>
        <w:t>供应商对采购活动事项（采购文件、采购过程和成交结果）有疑问的，可以向采购人或采购代理机构提出询问，采购人或采购代理机构将及时做出答复，但答复的内容不涉及商业秘密。书面方式询问包括但不限于电子邮件、信函。联系方式见第一章《供应商邀请函》中“采购人、采购代理机构的名称、地址和联系方式”。</w:t>
      </w:r>
    </w:p>
    <w:p>
      <w:pPr>
        <w:pStyle w:val="10"/>
        <w:rPr>
          <w:rFonts w:hint="eastAsia"/>
          <w:color w:val="auto"/>
          <w:highlight w:val="none"/>
        </w:rPr>
      </w:pPr>
    </w:p>
    <w:bookmarkEnd w:id="103"/>
    <w:bookmarkEnd w:id="104"/>
    <w:bookmarkEnd w:id="105"/>
    <w:bookmarkEnd w:id="106"/>
    <w:bookmarkEnd w:id="113"/>
    <w:bookmarkEnd w:id="114"/>
    <w:p>
      <w:pPr>
        <w:pStyle w:val="9"/>
        <w:ind w:firstLine="422" w:firstLineChars="200"/>
        <w:rPr>
          <w:rFonts w:hint="eastAsia" w:hAnsi="宋体"/>
          <w:color w:val="auto"/>
          <w:szCs w:val="21"/>
          <w:highlight w:val="none"/>
        </w:rPr>
      </w:pPr>
      <w:r>
        <w:rPr>
          <w:rFonts w:hint="eastAsia" w:hAnsi="宋体"/>
          <w:b/>
          <w:color w:val="auto"/>
          <w:szCs w:val="21"/>
          <w:highlight w:val="none"/>
        </w:rPr>
        <w:t>（二） 质疑</w:t>
      </w:r>
    </w:p>
    <w:p>
      <w:pPr>
        <w:pStyle w:val="9"/>
        <w:ind w:firstLine="420" w:firstLineChars="200"/>
        <w:rPr>
          <w:rFonts w:hint="eastAsia" w:hAnsi="宋体"/>
          <w:color w:val="auto"/>
          <w:szCs w:val="21"/>
          <w:highlight w:val="none"/>
        </w:rPr>
      </w:pPr>
      <w:r>
        <w:rPr>
          <w:rFonts w:hint="eastAsia" w:hAnsi="宋体"/>
          <w:color w:val="auto"/>
          <w:szCs w:val="21"/>
          <w:highlight w:val="none"/>
        </w:rPr>
        <w:t>供应商认为采购文件、采购过程或成交结果使自己的权益受到损害的，以书面形式向采购人或采购代理机构采购代理机构书面提出质疑：</w:t>
      </w:r>
    </w:p>
    <w:p>
      <w:pPr>
        <w:pStyle w:val="9"/>
        <w:ind w:firstLine="420" w:firstLineChars="200"/>
        <w:rPr>
          <w:rFonts w:hint="eastAsia" w:hAnsi="宋体"/>
          <w:color w:val="auto"/>
          <w:szCs w:val="21"/>
          <w:highlight w:val="none"/>
        </w:rPr>
      </w:pPr>
      <w:r>
        <w:rPr>
          <w:rFonts w:hint="eastAsia" w:hAnsi="宋体"/>
          <w:color w:val="auto"/>
          <w:szCs w:val="21"/>
          <w:highlight w:val="none"/>
        </w:rPr>
        <w:t>1、采购文件在指定的采购信息发布媒体上公示最少 5 个工作日；购买本采购文件的供应商认为采购文件的内容损害其权益的，应当在获取采购文件或者采购文件公告期限届满之日起 7 个工作日内提出质疑，供应商质疑、投诉应当有明确的请求和必要的证明材料；</w:t>
      </w:r>
    </w:p>
    <w:p>
      <w:pPr>
        <w:pStyle w:val="9"/>
        <w:ind w:firstLine="420" w:firstLineChars="200"/>
        <w:rPr>
          <w:rFonts w:hint="eastAsia" w:hAnsi="宋体"/>
          <w:color w:val="auto"/>
          <w:szCs w:val="21"/>
          <w:highlight w:val="none"/>
        </w:rPr>
      </w:pPr>
      <w:r>
        <w:rPr>
          <w:rFonts w:hint="eastAsia" w:hAnsi="宋体"/>
          <w:color w:val="auto"/>
          <w:szCs w:val="21"/>
          <w:highlight w:val="none"/>
        </w:rPr>
        <w:t>2、报价供应商认为采购过程和成交结果使自己的权益受到损害的，对采购过程提出质疑的，为各采购程序环节结束之日起 7 个工作日内提出质疑；对成交结果提出质疑的，为成交结果公告期限届满之日起 7 个工作日内提出质疑；供应商质疑、投诉应当有明确的请求和必要的证明材料(捏造事实、提供虚假材料或者以非法手段取得证明材料不能作为质疑、投诉的证明材料）；</w:t>
      </w:r>
    </w:p>
    <w:p>
      <w:pPr>
        <w:pStyle w:val="9"/>
        <w:ind w:firstLine="420" w:firstLineChars="200"/>
        <w:rPr>
          <w:rFonts w:hint="eastAsia" w:hAnsi="宋体"/>
          <w:color w:val="auto"/>
          <w:szCs w:val="21"/>
          <w:highlight w:val="none"/>
        </w:rPr>
      </w:pPr>
      <w:r>
        <w:rPr>
          <w:rFonts w:hint="eastAsia" w:hAnsi="宋体"/>
          <w:color w:val="auto"/>
          <w:szCs w:val="21"/>
          <w:highlight w:val="none"/>
        </w:rPr>
        <w:t>3、采购人或采购代理机构在收到报价供应商的书面质疑后 7 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pStyle w:val="9"/>
        <w:ind w:firstLine="420" w:firstLineChars="200"/>
        <w:rPr>
          <w:rFonts w:hint="eastAsia" w:hAnsi="宋体"/>
          <w:color w:val="auto"/>
          <w:szCs w:val="21"/>
          <w:highlight w:val="none"/>
        </w:rPr>
      </w:pPr>
      <w:r>
        <w:rPr>
          <w:rFonts w:hint="eastAsia" w:hAnsi="宋体"/>
          <w:color w:val="auto"/>
          <w:szCs w:val="21"/>
          <w:highlight w:val="none"/>
        </w:rPr>
        <w:t>4、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人的监督管理部门依法处理。</w:t>
      </w:r>
    </w:p>
    <w:p>
      <w:pPr>
        <w:pStyle w:val="9"/>
        <w:ind w:firstLine="420" w:firstLineChars="200"/>
        <w:rPr>
          <w:rFonts w:hint="eastAsia" w:hAnsi="宋体"/>
          <w:color w:val="auto"/>
          <w:szCs w:val="21"/>
          <w:highlight w:val="none"/>
        </w:rPr>
      </w:pPr>
      <w:r>
        <w:rPr>
          <w:rFonts w:hint="eastAsia" w:hAnsi="宋体"/>
          <w:color w:val="auto"/>
          <w:szCs w:val="21"/>
          <w:highlight w:val="none"/>
        </w:rPr>
        <w:t>5、供应商应在法定质疑期内一次性提出针对同一采购程序环节的质疑。</w:t>
      </w:r>
    </w:p>
    <w:p>
      <w:pPr>
        <w:pStyle w:val="9"/>
        <w:ind w:firstLine="420" w:firstLineChars="200"/>
        <w:rPr>
          <w:rFonts w:hint="eastAsia" w:hAnsi="宋体"/>
          <w:color w:val="auto"/>
          <w:szCs w:val="21"/>
          <w:highlight w:val="none"/>
        </w:rPr>
      </w:pPr>
      <w:r>
        <w:rPr>
          <w:rFonts w:hint="eastAsia" w:hAnsi="宋体"/>
          <w:color w:val="auto"/>
          <w:szCs w:val="21"/>
          <w:highlight w:val="none"/>
        </w:rPr>
        <w:t>6、质疑函应当包括下列内容：</w:t>
      </w:r>
    </w:p>
    <w:p>
      <w:pPr>
        <w:pStyle w:val="9"/>
        <w:ind w:firstLine="420" w:firstLineChars="200"/>
        <w:rPr>
          <w:rFonts w:hint="eastAsia" w:hAnsi="宋体"/>
          <w:color w:val="auto"/>
          <w:szCs w:val="21"/>
          <w:highlight w:val="none"/>
        </w:rPr>
      </w:pPr>
      <w:r>
        <w:rPr>
          <w:rFonts w:hint="eastAsia" w:hAnsi="宋体"/>
          <w:color w:val="auto"/>
          <w:szCs w:val="21"/>
          <w:highlight w:val="none"/>
        </w:rPr>
        <w:t>（1）供应商的姓名或者名称、地址、邮编、联系人及联系电话；</w:t>
      </w:r>
    </w:p>
    <w:p>
      <w:pPr>
        <w:pStyle w:val="9"/>
        <w:ind w:firstLine="420" w:firstLineChars="200"/>
        <w:rPr>
          <w:rFonts w:hint="eastAsia" w:hAnsi="宋体"/>
          <w:color w:val="auto"/>
          <w:szCs w:val="21"/>
          <w:highlight w:val="none"/>
        </w:rPr>
      </w:pPr>
      <w:r>
        <w:rPr>
          <w:rFonts w:hint="eastAsia" w:hAnsi="宋体"/>
          <w:color w:val="auto"/>
          <w:szCs w:val="21"/>
          <w:highlight w:val="none"/>
        </w:rPr>
        <w:t>（2）质疑项目的名称、编号；</w:t>
      </w:r>
    </w:p>
    <w:p>
      <w:pPr>
        <w:pStyle w:val="9"/>
        <w:ind w:firstLine="420" w:firstLineChars="200"/>
        <w:rPr>
          <w:rFonts w:hint="eastAsia" w:hAnsi="宋体"/>
          <w:color w:val="auto"/>
          <w:szCs w:val="21"/>
          <w:highlight w:val="none"/>
        </w:rPr>
      </w:pPr>
      <w:r>
        <w:rPr>
          <w:rFonts w:hint="eastAsia" w:hAnsi="宋体"/>
          <w:color w:val="auto"/>
          <w:szCs w:val="21"/>
          <w:highlight w:val="none"/>
        </w:rPr>
        <w:t>（3）具体、明确的质疑事项和与质疑事项相关的请求；</w:t>
      </w:r>
    </w:p>
    <w:p>
      <w:pPr>
        <w:pStyle w:val="9"/>
        <w:ind w:firstLine="420" w:firstLineChars="200"/>
        <w:rPr>
          <w:rFonts w:hint="eastAsia" w:hAnsi="宋体"/>
          <w:color w:val="auto"/>
          <w:szCs w:val="21"/>
          <w:highlight w:val="none"/>
        </w:rPr>
      </w:pPr>
      <w:r>
        <w:rPr>
          <w:rFonts w:hint="eastAsia" w:hAnsi="宋体"/>
          <w:color w:val="auto"/>
          <w:szCs w:val="21"/>
          <w:highlight w:val="none"/>
        </w:rPr>
        <w:t>（4）事实依据；</w:t>
      </w:r>
    </w:p>
    <w:p>
      <w:pPr>
        <w:pStyle w:val="9"/>
        <w:ind w:firstLine="420" w:firstLineChars="200"/>
        <w:rPr>
          <w:rFonts w:hint="eastAsia" w:hAnsi="宋体"/>
          <w:color w:val="auto"/>
          <w:szCs w:val="21"/>
          <w:highlight w:val="none"/>
        </w:rPr>
      </w:pPr>
      <w:r>
        <w:rPr>
          <w:rFonts w:hint="eastAsia" w:hAnsi="宋体"/>
          <w:color w:val="auto"/>
          <w:szCs w:val="21"/>
          <w:highlight w:val="none"/>
        </w:rPr>
        <w:t>（5）必要的法律依据；</w:t>
      </w:r>
    </w:p>
    <w:p>
      <w:pPr>
        <w:pStyle w:val="9"/>
        <w:ind w:firstLine="420" w:firstLineChars="200"/>
        <w:rPr>
          <w:rFonts w:hint="eastAsia" w:hAnsi="宋体"/>
          <w:color w:val="auto"/>
          <w:szCs w:val="21"/>
          <w:highlight w:val="none"/>
        </w:rPr>
      </w:pPr>
      <w:r>
        <w:rPr>
          <w:rFonts w:hint="eastAsia" w:hAnsi="宋体"/>
          <w:color w:val="auto"/>
          <w:szCs w:val="21"/>
          <w:highlight w:val="none"/>
        </w:rPr>
        <w:t>（6）提出质疑的日期。</w:t>
      </w:r>
    </w:p>
    <w:p>
      <w:pPr>
        <w:pStyle w:val="9"/>
        <w:ind w:firstLine="420" w:firstLineChars="200"/>
        <w:rPr>
          <w:rFonts w:hint="eastAsia" w:hAnsi="宋体"/>
          <w:color w:val="auto"/>
          <w:szCs w:val="21"/>
          <w:highlight w:val="none"/>
        </w:rPr>
      </w:pPr>
      <w:r>
        <w:rPr>
          <w:rFonts w:hint="eastAsia" w:hAnsi="宋体"/>
          <w:color w:val="auto"/>
          <w:szCs w:val="21"/>
          <w:highlight w:val="none"/>
        </w:rPr>
        <w:t>供应商为自然人的，应当由本人签字；供应商为法人或者其他组织的，应当由法定代表人、主要负责人，或者其授权代表签字或者盖章，并加盖公章。</w:t>
      </w:r>
    </w:p>
    <w:p>
      <w:pPr>
        <w:pStyle w:val="9"/>
        <w:ind w:firstLine="420" w:firstLineChars="200"/>
        <w:rPr>
          <w:rFonts w:hint="eastAsia" w:hAnsi="宋体"/>
          <w:color w:val="auto"/>
          <w:szCs w:val="21"/>
          <w:highlight w:val="none"/>
        </w:rPr>
      </w:pPr>
      <w:r>
        <w:rPr>
          <w:rFonts w:hint="eastAsia" w:hAnsi="宋体"/>
          <w:color w:val="auto"/>
          <w:szCs w:val="21"/>
          <w:highlight w:val="none"/>
        </w:rPr>
        <w:t>7、质疑材料中有外文书证或者外国语视听资料的，应当附有中文译本，由翻译机构盖章或者翻译人员签名。</w:t>
      </w:r>
    </w:p>
    <w:p>
      <w:pPr>
        <w:pStyle w:val="9"/>
        <w:ind w:firstLine="420" w:firstLineChars="200"/>
        <w:rPr>
          <w:rFonts w:hint="eastAsia" w:hAnsi="宋体"/>
          <w:color w:val="auto"/>
          <w:szCs w:val="21"/>
          <w:highlight w:val="none"/>
        </w:rPr>
      </w:pPr>
      <w:r>
        <w:rPr>
          <w:rFonts w:hint="eastAsia" w:hAnsi="宋体"/>
          <w:color w:val="auto"/>
          <w:szCs w:val="21"/>
          <w:highlight w:val="none"/>
        </w:rPr>
        <w:t>8、质疑事项属于有关法律、法规和规章规定处于保密阶段的事项，质疑的当事人应当提供信息来源或有效证据。</w:t>
      </w:r>
    </w:p>
    <w:p>
      <w:pPr>
        <w:pStyle w:val="9"/>
        <w:ind w:firstLine="420" w:firstLineChars="200"/>
        <w:rPr>
          <w:rFonts w:hint="eastAsia" w:hAnsi="宋体"/>
          <w:color w:val="auto"/>
          <w:szCs w:val="21"/>
          <w:highlight w:val="none"/>
        </w:rPr>
      </w:pPr>
      <w:r>
        <w:rPr>
          <w:rFonts w:hint="eastAsia" w:hAnsi="宋体"/>
          <w:color w:val="auto"/>
          <w:szCs w:val="21"/>
          <w:highlight w:val="none"/>
        </w:rPr>
        <w:t>9、质疑联系方式</w:t>
      </w:r>
    </w:p>
    <w:p>
      <w:pPr>
        <w:pStyle w:val="9"/>
        <w:ind w:firstLine="420" w:firstLineChars="200"/>
        <w:rPr>
          <w:rFonts w:hint="eastAsia" w:hAnsi="宋体"/>
          <w:color w:val="auto"/>
          <w:szCs w:val="21"/>
          <w:highlight w:val="none"/>
        </w:rPr>
      </w:pPr>
      <w:r>
        <w:rPr>
          <w:rFonts w:hint="eastAsia" w:hAnsi="宋体"/>
          <w:color w:val="auto"/>
          <w:szCs w:val="21"/>
          <w:highlight w:val="none"/>
        </w:rPr>
        <w:t>质疑受理机构名称：广东省机电设备招标有限公司</w:t>
      </w:r>
    </w:p>
    <w:p>
      <w:pPr>
        <w:pStyle w:val="9"/>
        <w:ind w:firstLine="420" w:firstLineChars="200"/>
        <w:rPr>
          <w:rFonts w:hint="eastAsia" w:hAnsi="宋体"/>
          <w:color w:val="auto"/>
          <w:szCs w:val="21"/>
          <w:highlight w:val="none"/>
        </w:rPr>
      </w:pPr>
      <w:r>
        <w:rPr>
          <w:rFonts w:hint="eastAsia" w:hAnsi="宋体"/>
          <w:color w:val="auto"/>
          <w:szCs w:val="21"/>
          <w:highlight w:val="none"/>
        </w:rPr>
        <w:t>质疑受理机构地址：广州市环市中路316号金鹰大厦10楼</w:t>
      </w:r>
    </w:p>
    <w:p>
      <w:pPr>
        <w:pStyle w:val="9"/>
        <w:ind w:firstLine="420" w:firstLineChars="200"/>
        <w:rPr>
          <w:rFonts w:hint="default" w:hAnsi="宋体" w:eastAsia="宋体"/>
          <w:color w:val="auto"/>
          <w:szCs w:val="21"/>
          <w:highlight w:val="none"/>
          <w:lang w:val="en-US" w:eastAsia="zh-CN"/>
        </w:rPr>
      </w:pPr>
      <w:r>
        <w:rPr>
          <w:rFonts w:hint="eastAsia" w:hAnsi="宋体"/>
          <w:color w:val="auto"/>
          <w:szCs w:val="21"/>
          <w:highlight w:val="none"/>
        </w:rPr>
        <w:t>质疑受理机构电话：020-835461</w:t>
      </w:r>
      <w:r>
        <w:rPr>
          <w:rFonts w:hint="eastAsia" w:hAnsi="宋体"/>
          <w:color w:val="auto"/>
          <w:szCs w:val="21"/>
          <w:highlight w:val="none"/>
          <w:lang w:val="en-US" w:eastAsia="zh-CN"/>
        </w:rPr>
        <w:t>09</w:t>
      </w:r>
    </w:p>
    <w:p>
      <w:pPr>
        <w:pStyle w:val="9"/>
        <w:ind w:firstLine="420" w:firstLineChars="200"/>
        <w:rPr>
          <w:rFonts w:hint="eastAsia" w:hAnsi="宋体"/>
          <w:color w:val="auto"/>
          <w:szCs w:val="21"/>
          <w:highlight w:val="none"/>
        </w:rPr>
      </w:pPr>
      <w:r>
        <w:rPr>
          <w:rFonts w:hint="eastAsia" w:hAnsi="宋体"/>
          <w:color w:val="auto"/>
          <w:szCs w:val="21"/>
          <w:highlight w:val="none"/>
        </w:rPr>
        <w:t>质疑受理机构邮箱：gmetb2@126.com</w:t>
      </w:r>
    </w:p>
    <w:p>
      <w:pPr>
        <w:pStyle w:val="9"/>
        <w:ind w:firstLine="422" w:firstLineChars="200"/>
        <w:rPr>
          <w:rFonts w:hint="eastAsia" w:hAnsi="宋体"/>
          <w:color w:val="auto"/>
          <w:szCs w:val="21"/>
          <w:highlight w:val="none"/>
        </w:rPr>
      </w:pPr>
      <w:r>
        <w:rPr>
          <w:rFonts w:hint="eastAsia" w:hAnsi="宋体"/>
          <w:b/>
          <w:color w:val="auto"/>
          <w:szCs w:val="21"/>
          <w:highlight w:val="none"/>
        </w:rPr>
        <w:t>（三） 投诉</w:t>
      </w:r>
    </w:p>
    <w:p>
      <w:pPr>
        <w:pStyle w:val="9"/>
        <w:ind w:firstLine="420" w:firstLineChars="200"/>
        <w:rPr>
          <w:rFonts w:hint="eastAsia" w:hAnsi="宋体"/>
          <w:color w:val="auto"/>
          <w:szCs w:val="21"/>
          <w:highlight w:val="none"/>
        </w:rPr>
      </w:pPr>
      <w:r>
        <w:rPr>
          <w:rFonts w:hint="eastAsia" w:hAnsi="宋体"/>
          <w:color w:val="auto"/>
          <w:szCs w:val="21"/>
          <w:highlight w:val="none"/>
        </w:rPr>
        <w:t>1、供应商对采购人或采购代理机构的质疑答复不满意或在规定时间内未得到答复的，可以在答复期满后 15 个工作日内，向</w:t>
      </w:r>
      <w:r>
        <w:rPr>
          <w:rFonts w:hint="eastAsia" w:hAnsi="宋体"/>
          <w:color w:val="auto"/>
          <w:szCs w:val="21"/>
          <w:highlight w:val="none"/>
          <w:lang w:val="en-US" w:eastAsia="zh-CN"/>
        </w:rPr>
        <w:t>采购人</w:t>
      </w:r>
      <w:r>
        <w:rPr>
          <w:rFonts w:hint="eastAsia" w:hAnsi="宋体"/>
          <w:color w:val="auto"/>
          <w:szCs w:val="21"/>
          <w:highlight w:val="none"/>
        </w:rPr>
        <w:t>的监督管理机构提出投诉。</w:t>
      </w:r>
    </w:p>
    <w:p>
      <w:pPr>
        <w:pStyle w:val="9"/>
        <w:ind w:firstLine="420" w:firstLineChars="200"/>
        <w:rPr>
          <w:rFonts w:hint="eastAsia" w:hAnsi="宋体"/>
          <w:color w:val="auto"/>
          <w:szCs w:val="21"/>
          <w:highlight w:val="none"/>
        </w:rPr>
      </w:pPr>
      <w:r>
        <w:rPr>
          <w:rFonts w:hint="eastAsia" w:hAnsi="宋体"/>
          <w:color w:val="auto"/>
          <w:szCs w:val="21"/>
          <w:highlight w:val="none"/>
        </w:rPr>
        <w:t>2、投诉人在全国范围 12 个月内三次以上投诉查无实据的，列入不良行为记录名单。</w:t>
      </w:r>
    </w:p>
    <w:p>
      <w:pPr>
        <w:pStyle w:val="9"/>
        <w:ind w:firstLine="420" w:firstLineChars="200"/>
        <w:rPr>
          <w:rFonts w:hint="eastAsia" w:hAnsi="宋体"/>
          <w:color w:val="auto"/>
          <w:szCs w:val="21"/>
          <w:highlight w:val="none"/>
        </w:rPr>
      </w:pPr>
      <w:r>
        <w:rPr>
          <w:rFonts w:hint="eastAsia" w:hAnsi="宋体"/>
          <w:color w:val="auto"/>
          <w:szCs w:val="21"/>
          <w:highlight w:val="none"/>
        </w:rPr>
        <w:t>3、投诉人有下列行为之一的，属于虚假、恶意投诉，列入不良行为记录名单，禁止其 1 至 3 年内参加采购人组织的采购活动：</w:t>
      </w:r>
    </w:p>
    <w:p>
      <w:pPr>
        <w:pStyle w:val="9"/>
        <w:ind w:firstLine="420" w:firstLineChars="200"/>
        <w:rPr>
          <w:rFonts w:hint="eastAsia" w:hAnsi="宋体"/>
          <w:color w:val="auto"/>
          <w:szCs w:val="21"/>
          <w:highlight w:val="none"/>
        </w:rPr>
      </w:pPr>
      <w:r>
        <w:rPr>
          <w:rFonts w:hint="eastAsia" w:hAnsi="宋体"/>
          <w:color w:val="auto"/>
          <w:szCs w:val="21"/>
          <w:highlight w:val="none"/>
        </w:rPr>
        <w:t>（1）捏造事实；</w:t>
      </w:r>
    </w:p>
    <w:p>
      <w:pPr>
        <w:pStyle w:val="9"/>
        <w:ind w:firstLine="420" w:firstLineChars="200"/>
        <w:rPr>
          <w:rFonts w:hint="eastAsia" w:hAnsi="宋体"/>
          <w:color w:val="auto"/>
          <w:szCs w:val="21"/>
          <w:highlight w:val="none"/>
        </w:rPr>
      </w:pPr>
      <w:r>
        <w:rPr>
          <w:rFonts w:hint="eastAsia" w:hAnsi="宋体"/>
          <w:color w:val="auto"/>
          <w:szCs w:val="21"/>
          <w:highlight w:val="none"/>
        </w:rPr>
        <w:t>（2）提供虚假材料；</w:t>
      </w:r>
    </w:p>
    <w:p>
      <w:pPr>
        <w:pStyle w:val="10"/>
        <w:spacing w:line="360" w:lineRule="auto"/>
        <w:rPr>
          <w:rFonts w:hAnsi="宋体"/>
          <w:b/>
          <w:color w:val="auto"/>
          <w:sz w:val="24"/>
          <w:szCs w:val="24"/>
          <w:highlight w:val="none"/>
        </w:rPr>
      </w:pPr>
      <w:r>
        <w:rPr>
          <w:rFonts w:hint="eastAsia" w:hAnsi="宋体"/>
          <w:color w:val="auto"/>
          <w:szCs w:val="21"/>
          <w:highlight w:val="none"/>
        </w:rPr>
        <w:t>（3）以非法手段取得证明材料。证据来源的合法性存在明显疑问，投诉人无法证明其取得方式合法的，视为以非法手段取得证明材料。</w:t>
      </w:r>
      <w:r>
        <w:rPr>
          <w:rFonts w:hAnsi="宋体"/>
          <w:color w:val="auto"/>
          <w:szCs w:val="21"/>
          <w:highlight w:val="none"/>
        </w:rPr>
        <w:cr/>
      </w:r>
      <w:bookmarkStart w:id="115" w:name="_Toc42394504"/>
      <w:bookmarkStart w:id="116" w:name="_Toc101775116"/>
      <w:bookmarkStart w:id="117" w:name="_Toc46308681"/>
      <w:bookmarkStart w:id="118" w:name="_Toc101771363"/>
      <w:bookmarkStart w:id="119" w:name="_Toc50276145"/>
      <w:bookmarkStart w:id="120" w:name="_Toc504688278"/>
      <w:bookmarkStart w:id="121" w:name="_Toc101843116"/>
      <w:bookmarkStart w:id="122" w:name="_Toc98035086"/>
      <w:bookmarkStart w:id="123" w:name="_Toc50276193"/>
      <w:bookmarkStart w:id="124" w:name="_Toc42394661"/>
      <w:bookmarkStart w:id="125" w:name="_Toc175644387"/>
      <w:bookmarkStart w:id="126" w:name="_Toc101951249"/>
      <w:bookmarkStart w:id="127" w:name="_Toc98579598"/>
      <w:bookmarkStart w:id="128" w:name="_Toc41884693"/>
      <w:bookmarkStart w:id="129" w:name="_Toc98578999"/>
      <w:bookmarkStart w:id="130" w:name="_Toc479157915"/>
      <w:bookmarkStart w:id="131" w:name="_Toc42313159"/>
      <w:bookmarkStart w:id="132" w:name="_Toc504694646"/>
      <w:bookmarkStart w:id="133" w:name="_Toc98580281"/>
      <w:bookmarkStart w:id="134" w:name="_Toc46308525"/>
      <w:bookmarkStart w:id="135" w:name="_Toc98579057"/>
      <w:bookmarkStart w:id="136" w:name="_Toc41723923"/>
      <w:r>
        <w:rPr>
          <w:rFonts w:hint="eastAsia" w:hAnsi="宋体"/>
          <w:b/>
          <w:color w:val="auto"/>
          <w:sz w:val="24"/>
          <w:szCs w:val="24"/>
          <w:highlight w:val="none"/>
        </w:rPr>
        <w:t>四、响应文件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numPr>
          <w:ilvl w:val="0"/>
          <w:numId w:val="5"/>
        </w:numPr>
        <w:spacing w:line="360" w:lineRule="auto"/>
        <w:rPr>
          <w:rFonts w:ascii="宋体" w:hAnsi="宋体" w:cs="Arial"/>
          <w:b/>
          <w:color w:val="auto"/>
          <w:szCs w:val="21"/>
          <w:highlight w:val="none"/>
        </w:rPr>
      </w:pPr>
      <w:bookmarkStart w:id="137" w:name="_Toc479157916"/>
      <w:bookmarkStart w:id="138" w:name="_Toc41884695"/>
      <w:bookmarkStart w:id="139" w:name="_Toc98579600"/>
      <w:bookmarkStart w:id="140" w:name="_Toc42394506"/>
      <w:bookmarkStart w:id="141" w:name="_Toc98579001"/>
      <w:bookmarkStart w:id="142" w:name="_Toc101951251"/>
      <w:bookmarkStart w:id="143" w:name="_Toc42313161"/>
      <w:bookmarkStart w:id="144" w:name="_Toc41723925"/>
      <w:bookmarkStart w:id="145" w:name="_Toc50276147"/>
      <w:bookmarkStart w:id="146" w:name="_Toc98580283"/>
      <w:bookmarkStart w:id="147" w:name="_Toc101771365"/>
      <w:bookmarkStart w:id="148" w:name="_Toc98579059"/>
      <w:bookmarkStart w:id="149" w:name="_Toc42394663"/>
      <w:bookmarkStart w:id="150" w:name="_Toc134956127"/>
      <w:bookmarkStart w:id="151" w:name="_Toc101843118"/>
      <w:bookmarkStart w:id="152" w:name="_Toc101775118"/>
      <w:r>
        <w:rPr>
          <w:rFonts w:hint="eastAsia" w:ascii="宋体" w:hAnsi="宋体" w:cs="Arial"/>
          <w:b/>
          <w:color w:val="auto"/>
          <w:szCs w:val="21"/>
          <w:highlight w:val="none"/>
        </w:rPr>
        <w:t>响应文件的构成</w:t>
      </w:r>
      <w:bookmarkEnd w:id="137"/>
    </w:p>
    <w:p>
      <w:pPr>
        <w:pStyle w:val="9"/>
        <w:ind w:firstLine="420" w:firstLineChars="200"/>
        <w:rPr>
          <w:rFonts w:hint="eastAsia" w:hAnsi="宋体"/>
          <w:color w:val="auto"/>
          <w:szCs w:val="21"/>
          <w:highlight w:val="none"/>
        </w:rPr>
      </w:pPr>
      <w:r>
        <w:rPr>
          <w:rFonts w:hint="eastAsia" w:hAnsi="宋体"/>
          <w:color w:val="auto"/>
          <w:szCs w:val="21"/>
          <w:highlight w:val="none"/>
        </w:rPr>
        <w:t>响应文件由商务文件、技术文件等构成。商务文件、技术文件须按照第六章的要求</w:t>
      </w:r>
      <w:r>
        <w:rPr>
          <w:rFonts w:hint="eastAsia" w:hAnsi="宋体"/>
          <w:color w:val="auto"/>
          <w:szCs w:val="21"/>
          <w:highlight w:val="none"/>
          <w:lang w:val="en-US" w:eastAsia="zh-CN"/>
        </w:rPr>
        <w:t>进行编制</w:t>
      </w:r>
      <w:r>
        <w:rPr>
          <w:rFonts w:hint="eastAsia" w:hAnsi="宋体"/>
          <w:color w:val="auto"/>
          <w:szCs w:val="21"/>
          <w:highlight w:val="none"/>
        </w:rPr>
        <w:t>。</w:t>
      </w:r>
    </w:p>
    <w:p>
      <w:pPr>
        <w:numPr>
          <w:ilvl w:val="0"/>
          <w:numId w:val="5"/>
        </w:numPr>
        <w:spacing w:before="120" w:beforeLines="50" w:line="360" w:lineRule="auto"/>
        <w:ind w:left="839"/>
        <w:rPr>
          <w:rFonts w:hint="eastAsia" w:ascii="宋体" w:hAnsi="宋体" w:cs="Arial"/>
          <w:b/>
          <w:color w:val="auto"/>
          <w:szCs w:val="21"/>
          <w:highlight w:val="none"/>
        </w:rPr>
      </w:pPr>
      <w:bookmarkStart w:id="153" w:name="_Toc479157917"/>
      <w:r>
        <w:rPr>
          <w:rFonts w:hint="eastAsia" w:ascii="宋体" w:hAnsi="宋体" w:cs="Arial"/>
          <w:b/>
          <w:color w:val="auto"/>
          <w:szCs w:val="21"/>
          <w:highlight w:val="none"/>
        </w:rPr>
        <w:t>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9"/>
        <w:ind w:firstLine="420" w:firstLineChars="200"/>
        <w:rPr>
          <w:rFonts w:hAnsi="宋体"/>
          <w:color w:val="auto"/>
          <w:szCs w:val="21"/>
          <w:highlight w:val="none"/>
        </w:rPr>
      </w:pPr>
      <w:bookmarkStart w:id="154" w:name="_Toc479157918"/>
      <w:r>
        <w:rPr>
          <w:rFonts w:hint="eastAsia" w:hAnsi="宋体"/>
          <w:color w:val="auto"/>
          <w:szCs w:val="21"/>
          <w:highlight w:val="none"/>
        </w:rPr>
        <w:t>1、供应商应按采购文件的规定及附件要求的内容和格式完整地填写和提供资料。</w:t>
      </w:r>
      <w:r>
        <w:rPr>
          <w:rFonts w:hint="eastAsia"/>
          <w:color w:val="auto"/>
          <w:highlight w:val="none"/>
        </w:rPr>
        <w:t>供应商必须对响应文件所提供的全部资料的真实性承担法律责任，并无条件接受采购人和监督管理部门对其中任何资料进行核实（核对原件）的要求</w:t>
      </w:r>
      <w:r>
        <w:rPr>
          <w:rFonts w:hint="eastAsia" w:hAnsi="宋体"/>
          <w:color w:val="auto"/>
          <w:szCs w:val="21"/>
          <w:highlight w:val="none"/>
        </w:rPr>
        <w:t>。</w:t>
      </w:r>
      <w:bookmarkEnd w:id="154"/>
    </w:p>
    <w:p>
      <w:pPr>
        <w:pStyle w:val="9"/>
        <w:ind w:firstLine="420" w:firstLineChars="200"/>
        <w:rPr>
          <w:rFonts w:hAnsi="宋体"/>
          <w:color w:val="auto"/>
          <w:szCs w:val="21"/>
          <w:highlight w:val="none"/>
        </w:rPr>
      </w:pPr>
      <w:bookmarkStart w:id="155" w:name="_Toc479157919"/>
      <w:r>
        <w:rPr>
          <w:rFonts w:hint="eastAsia" w:hAnsi="宋体"/>
          <w:color w:val="auto"/>
          <w:szCs w:val="21"/>
          <w:highlight w:val="none"/>
        </w:rPr>
        <w:t>2、采购文件中，凡标有“★”的地方均为须实质响应条款，供应商若有一项带“★”的条款未响应或不满足，将按无效响应处理。</w:t>
      </w:r>
      <w:bookmarkEnd w:id="155"/>
    </w:p>
    <w:p>
      <w:pPr>
        <w:pStyle w:val="9"/>
        <w:ind w:firstLine="420" w:firstLineChars="200"/>
        <w:rPr>
          <w:rFonts w:hAnsi="宋体"/>
          <w:color w:val="auto"/>
          <w:szCs w:val="21"/>
          <w:highlight w:val="none"/>
        </w:rPr>
      </w:pPr>
      <w:bookmarkStart w:id="156" w:name="_Toc479157920"/>
      <w:r>
        <w:rPr>
          <w:rFonts w:hint="eastAsia" w:hAnsi="宋体"/>
          <w:color w:val="auto"/>
          <w:szCs w:val="21"/>
          <w:highlight w:val="none"/>
        </w:rPr>
        <w:t>3、除在采购文件另有规定外，计量单位应使用中华人民共和国法定计量单位，以人民币填报所有报价。</w:t>
      </w:r>
      <w:bookmarkEnd w:id="156"/>
    </w:p>
    <w:p>
      <w:pPr>
        <w:pStyle w:val="9"/>
        <w:ind w:firstLine="420" w:firstLineChars="200"/>
        <w:rPr>
          <w:rFonts w:hAnsi="宋体"/>
          <w:color w:val="auto"/>
          <w:szCs w:val="21"/>
          <w:highlight w:val="none"/>
        </w:rPr>
      </w:pPr>
      <w:bookmarkStart w:id="157" w:name="_Toc479157921"/>
      <w:r>
        <w:rPr>
          <w:rFonts w:hint="eastAsia" w:hAnsi="宋体"/>
          <w:color w:val="auto"/>
          <w:szCs w:val="21"/>
          <w:highlight w:val="none"/>
        </w:rPr>
        <w:t>4、响应文件报价的编写要求</w:t>
      </w:r>
      <w:bookmarkEnd w:id="157"/>
    </w:p>
    <w:p>
      <w:pPr>
        <w:pStyle w:val="9"/>
        <w:ind w:firstLine="420" w:firstLineChars="200"/>
        <w:rPr>
          <w:rFonts w:hAnsi="宋体"/>
          <w:color w:val="auto"/>
          <w:szCs w:val="21"/>
          <w:highlight w:val="none"/>
        </w:rPr>
      </w:pPr>
      <w:bookmarkStart w:id="158" w:name="_Toc479157922"/>
      <w:r>
        <w:rPr>
          <w:rFonts w:hint="eastAsia" w:hAnsi="宋体"/>
          <w:color w:val="auto"/>
          <w:szCs w:val="21"/>
          <w:highlight w:val="none"/>
        </w:rPr>
        <w:t>（1）供应商必须按采购文件指定的格式填写各种报价，各报价应计算正确。</w:t>
      </w:r>
      <w:bookmarkEnd w:id="158"/>
    </w:p>
    <w:p>
      <w:pPr>
        <w:pStyle w:val="9"/>
        <w:ind w:firstLine="420" w:firstLineChars="200"/>
        <w:rPr>
          <w:rFonts w:hAnsi="宋体"/>
          <w:color w:val="auto"/>
          <w:szCs w:val="21"/>
          <w:highlight w:val="none"/>
        </w:rPr>
      </w:pPr>
      <w:bookmarkStart w:id="159" w:name="_Toc479157923"/>
      <w:r>
        <w:rPr>
          <w:rFonts w:hint="eastAsia" w:hAnsi="宋体"/>
          <w:color w:val="auto"/>
          <w:szCs w:val="21"/>
          <w:highlight w:val="none"/>
        </w:rPr>
        <w:t>（2）响应文件报价为采购标的所有费用的报价，包含货物（含相关配件、附件、安装、材料）或服务的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bookmarkEnd w:id="159"/>
    </w:p>
    <w:p>
      <w:pPr>
        <w:pStyle w:val="9"/>
        <w:ind w:firstLine="420" w:firstLineChars="200"/>
        <w:rPr>
          <w:rFonts w:hAnsi="宋体"/>
          <w:color w:val="auto"/>
          <w:szCs w:val="21"/>
          <w:highlight w:val="none"/>
        </w:rPr>
      </w:pPr>
      <w:bookmarkStart w:id="160" w:name="_Toc479157924"/>
      <w:r>
        <w:rPr>
          <w:rFonts w:hint="eastAsia" w:hAnsi="宋体"/>
          <w:color w:val="auto"/>
          <w:szCs w:val="21"/>
          <w:highlight w:val="none"/>
        </w:rPr>
        <w:t>（3）供应商漏报的单价或每单价报价中漏报、少报的费用，视为此项费用已隐含在报价中，成交后不得再向采购人收取任何费用。</w:t>
      </w:r>
      <w:bookmarkEnd w:id="160"/>
    </w:p>
    <w:p>
      <w:pPr>
        <w:pStyle w:val="9"/>
        <w:ind w:firstLine="420" w:firstLineChars="200"/>
        <w:rPr>
          <w:rFonts w:hAnsi="宋体"/>
          <w:color w:val="auto"/>
          <w:szCs w:val="21"/>
          <w:highlight w:val="none"/>
        </w:rPr>
      </w:pPr>
      <w:bookmarkStart w:id="161" w:name="_Toc479157925"/>
      <w:r>
        <w:rPr>
          <w:rFonts w:hint="eastAsia" w:hAnsi="宋体"/>
          <w:color w:val="auto"/>
          <w:szCs w:val="21"/>
          <w:highlight w:val="none"/>
        </w:rPr>
        <w:t>（4）成交供应商不得以本项目成交通知书办理进口批文。</w:t>
      </w:r>
      <w:bookmarkEnd w:id="161"/>
    </w:p>
    <w:p>
      <w:pPr>
        <w:pStyle w:val="9"/>
        <w:ind w:firstLine="420" w:firstLineChars="200"/>
        <w:rPr>
          <w:rFonts w:hAnsi="宋体"/>
          <w:color w:val="auto"/>
          <w:szCs w:val="21"/>
          <w:highlight w:val="none"/>
        </w:rPr>
      </w:pPr>
      <w:bookmarkStart w:id="162" w:name="_Toc479157926"/>
      <w:r>
        <w:rPr>
          <w:rFonts w:hint="eastAsia" w:hAnsi="宋体"/>
          <w:color w:val="auto"/>
          <w:szCs w:val="21"/>
          <w:highlight w:val="none"/>
        </w:rPr>
        <w:t>（5）响应文件的大写金额和小写金额不一致的，以大写金额为准；总价金额与按单价汇总金额不一致的，以单价金额计算结果为准；单价金额小数点有明显错位的，应以总价为准，并修改单价。</w:t>
      </w:r>
      <w:bookmarkEnd w:id="162"/>
    </w:p>
    <w:p>
      <w:pPr>
        <w:pStyle w:val="9"/>
        <w:ind w:firstLine="420" w:firstLineChars="200"/>
        <w:rPr>
          <w:rFonts w:hint="eastAsia" w:hAnsi="宋体"/>
          <w:color w:val="auto"/>
          <w:szCs w:val="21"/>
          <w:highlight w:val="none"/>
        </w:rPr>
      </w:pPr>
      <w:bookmarkStart w:id="163" w:name="_Toc479157927"/>
      <w:r>
        <w:rPr>
          <w:rFonts w:hint="eastAsia" w:hAnsi="宋体"/>
          <w:color w:val="auto"/>
          <w:szCs w:val="21"/>
          <w:highlight w:val="none"/>
        </w:rPr>
        <w:t>（6）响应文件以及供应商与采购人就有关磋商的往来函电均应使用中文。供应商提交的支持性文件和印制的文件可以用另一种语言，但相应内容应翻译成中文，在解释响应文件时以中文文本为准。</w:t>
      </w:r>
      <w:bookmarkEnd w:id="163"/>
    </w:p>
    <w:p>
      <w:pPr>
        <w:pStyle w:val="9"/>
        <w:ind w:firstLine="420" w:firstLineChars="200"/>
        <w:rPr>
          <w:rFonts w:hint="eastAsia" w:hAnsi="宋体"/>
          <w:color w:val="auto"/>
          <w:szCs w:val="21"/>
          <w:highlight w:val="none"/>
        </w:rPr>
      </w:pPr>
      <w:r>
        <w:rPr>
          <w:rFonts w:hint="eastAsia" w:hAnsi="宋体"/>
          <w:color w:val="auto"/>
          <w:szCs w:val="21"/>
          <w:highlight w:val="none"/>
        </w:rPr>
        <w:t>（7）响应文件报价其他要求详见《供应商须知前附表》。</w:t>
      </w:r>
    </w:p>
    <w:p>
      <w:pPr>
        <w:numPr>
          <w:ilvl w:val="0"/>
          <w:numId w:val="5"/>
        </w:numPr>
        <w:spacing w:line="360" w:lineRule="auto"/>
        <w:ind w:left="0" w:firstLine="422" w:firstLineChars="200"/>
        <w:rPr>
          <w:rFonts w:ascii="宋体" w:hAnsi="宋体" w:cs="Arial"/>
          <w:b/>
          <w:color w:val="auto"/>
          <w:szCs w:val="21"/>
          <w:highlight w:val="none"/>
        </w:rPr>
      </w:pPr>
      <w:bookmarkStart w:id="164" w:name="_Toc479157929"/>
      <w:r>
        <w:rPr>
          <w:rFonts w:hint="eastAsia" w:ascii="宋体" w:hAnsi="宋体" w:cs="Arial"/>
          <w:b/>
          <w:color w:val="auto"/>
          <w:szCs w:val="21"/>
          <w:highlight w:val="none"/>
        </w:rPr>
        <w:t>响应文件的</w:t>
      </w:r>
      <w:bookmarkEnd w:id="164"/>
      <w:r>
        <w:rPr>
          <w:rFonts w:hint="eastAsia" w:ascii="宋体" w:hAnsi="宋体" w:cs="Arial"/>
          <w:b/>
          <w:color w:val="auto"/>
          <w:szCs w:val="21"/>
          <w:highlight w:val="none"/>
          <w:lang w:val="en-US" w:eastAsia="zh-CN"/>
        </w:rPr>
        <w:t>制作</w:t>
      </w:r>
    </w:p>
    <w:p>
      <w:pPr>
        <w:numPr>
          <w:ilvl w:val="0"/>
          <w:numId w:val="0"/>
        </w:numPr>
        <w:spacing w:line="360" w:lineRule="auto"/>
        <w:ind w:leftChars="200"/>
        <w:rPr>
          <w:rFonts w:hint="eastAsia" w:hAnsi="宋体"/>
          <w:color w:val="auto"/>
          <w:szCs w:val="21"/>
          <w:highlight w:val="none"/>
        </w:rPr>
      </w:pPr>
      <w:bookmarkStart w:id="165" w:name="_Toc479157937"/>
      <w:bookmarkStart w:id="166" w:name="_Toc101951254"/>
      <w:bookmarkStart w:id="167" w:name="_Toc101775121"/>
      <w:bookmarkStart w:id="168" w:name="_Toc101843121"/>
      <w:bookmarkStart w:id="169" w:name="_Toc101771368"/>
      <w:bookmarkStart w:id="170" w:name="_Toc134956130"/>
      <w:r>
        <w:rPr>
          <w:rFonts w:hint="eastAsia" w:hAnsi="宋体"/>
          <w:color w:val="auto"/>
          <w:szCs w:val="21"/>
          <w:highlight w:val="none"/>
          <w:lang w:val="en-US" w:eastAsia="zh-CN"/>
        </w:rPr>
        <w:t>1、</w:t>
      </w:r>
      <w:r>
        <w:rPr>
          <w:rFonts w:hint="eastAsia" w:hAnsi="宋体"/>
          <w:color w:val="auto"/>
          <w:szCs w:val="21"/>
          <w:highlight w:val="none"/>
          <w:lang w:eastAsia="zh-CN"/>
        </w:rPr>
        <w:t>供应商</w:t>
      </w:r>
      <w:r>
        <w:rPr>
          <w:rFonts w:hint="eastAsia" w:hAnsi="宋体"/>
          <w:color w:val="auto"/>
          <w:szCs w:val="21"/>
          <w:highlight w:val="none"/>
        </w:rPr>
        <w:t>应使用阳光采购服务平台提供的</w:t>
      </w:r>
      <w:r>
        <w:rPr>
          <w:rFonts w:hint="eastAsia" w:hAnsi="宋体"/>
          <w:color w:val="auto"/>
          <w:szCs w:val="21"/>
          <w:highlight w:val="none"/>
          <w:lang w:eastAsia="zh-CN"/>
        </w:rPr>
        <w:t>响应文件</w:t>
      </w:r>
      <w:r>
        <w:rPr>
          <w:rFonts w:hint="eastAsia" w:hAnsi="宋体"/>
          <w:color w:val="auto"/>
          <w:szCs w:val="21"/>
          <w:highlight w:val="none"/>
        </w:rPr>
        <w:t>管理软件格式进行编写，如有必要，可以增加附页，作为</w:t>
      </w:r>
      <w:r>
        <w:rPr>
          <w:rFonts w:hint="eastAsia" w:hAnsi="宋体"/>
          <w:color w:val="auto"/>
          <w:szCs w:val="21"/>
          <w:highlight w:val="none"/>
          <w:lang w:eastAsia="zh-CN"/>
        </w:rPr>
        <w:t>响应文件</w:t>
      </w:r>
      <w:r>
        <w:rPr>
          <w:rFonts w:hint="eastAsia" w:hAnsi="宋体"/>
          <w:color w:val="auto"/>
          <w:szCs w:val="21"/>
          <w:highlight w:val="none"/>
        </w:rPr>
        <w:t>的组成部分。</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lang w:eastAsia="zh-CN"/>
        </w:rPr>
        <w:t>供应商</w:t>
      </w:r>
      <w:r>
        <w:rPr>
          <w:rFonts w:hint="eastAsia" w:hAnsi="宋体"/>
          <w:color w:val="auto"/>
          <w:szCs w:val="21"/>
          <w:highlight w:val="none"/>
        </w:rPr>
        <w:t>应使用阳光采购服务平台提供的</w:t>
      </w:r>
      <w:r>
        <w:rPr>
          <w:rFonts w:hint="eastAsia" w:hAnsi="宋体"/>
          <w:color w:val="auto"/>
          <w:szCs w:val="21"/>
          <w:highlight w:val="none"/>
          <w:lang w:eastAsia="zh-CN"/>
        </w:rPr>
        <w:t>响应文件</w:t>
      </w:r>
      <w:r>
        <w:rPr>
          <w:rFonts w:hint="eastAsia" w:hAnsi="宋体"/>
          <w:color w:val="auto"/>
          <w:szCs w:val="21"/>
          <w:highlight w:val="none"/>
        </w:rPr>
        <w:t>管理软件对</w:t>
      </w:r>
      <w:r>
        <w:rPr>
          <w:rFonts w:hint="eastAsia" w:hAnsi="宋体"/>
          <w:color w:val="auto"/>
          <w:szCs w:val="21"/>
          <w:highlight w:val="none"/>
          <w:lang w:eastAsia="zh-CN"/>
        </w:rPr>
        <w:t>响应文件</w:t>
      </w:r>
      <w:r>
        <w:rPr>
          <w:rFonts w:hint="eastAsia" w:hAnsi="宋体"/>
          <w:color w:val="auto"/>
          <w:szCs w:val="21"/>
          <w:highlight w:val="none"/>
        </w:rPr>
        <w:t>进行合成、电子签名、电子签章及加密打包。如因不按要求编制而所引起系统无法检索、读取相关信息时，其后果由</w:t>
      </w:r>
      <w:r>
        <w:rPr>
          <w:rFonts w:hint="eastAsia" w:hAnsi="宋体"/>
          <w:color w:val="auto"/>
          <w:szCs w:val="21"/>
          <w:highlight w:val="none"/>
          <w:lang w:eastAsia="zh-CN"/>
        </w:rPr>
        <w:t>供应商</w:t>
      </w:r>
      <w:r>
        <w:rPr>
          <w:rFonts w:hint="eastAsia" w:hAnsi="宋体"/>
          <w:color w:val="auto"/>
          <w:szCs w:val="21"/>
          <w:highlight w:val="none"/>
        </w:rPr>
        <w:t>承担。</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lang w:eastAsia="zh-CN"/>
        </w:rPr>
        <w:t>响应文件</w:t>
      </w:r>
      <w:r>
        <w:rPr>
          <w:rFonts w:hint="eastAsia" w:hAnsi="宋体"/>
          <w:color w:val="auto"/>
          <w:szCs w:val="21"/>
          <w:highlight w:val="none"/>
        </w:rPr>
        <w:t>应当对</w:t>
      </w:r>
      <w:r>
        <w:rPr>
          <w:rFonts w:hint="eastAsia" w:hAnsi="宋体"/>
          <w:color w:val="auto"/>
          <w:szCs w:val="21"/>
          <w:highlight w:val="none"/>
          <w:lang w:eastAsia="zh-CN"/>
        </w:rPr>
        <w:t>采购文件</w:t>
      </w:r>
      <w:r>
        <w:rPr>
          <w:rFonts w:hint="eastAsia" w:hAnsi="宋体"/>
          <w:color w:val="auto"/>
          <w:szCs w:val="21"/>
          <w:highlight w:val="none"/>
        </w:rPr>
        <w:t>有关合同供货期、</w:t>
      </w:r>
      <w:r>
        <w:rPr>
          <w:rFonts w:hint="eastAsia" w:hAnsi="宋体"/>
          <w:color w:val="auto"/>
          <w:szCs w:val="21"/>
          <w:highlight w:val="none"/>
          <w:lang w:eastAsia="zh-CN"/>
        </w:rPr>
        <w:t>响应</w:t>
      </w:r>
      <w:r>
        <w:rPr>
          <w:rFonts w:hint="eastAsia" w:hAnsi="宋体"/>
          <w:color w:val="auto"/>
          <w:szCs w:val="21"/>
          <w:highlight w:val="none"/>
        </w:rPr>
        <w:t>有效期、供货要求、招标范围等实质性内容作出响应。</w:t>
      </w:r>
      <w:r>
        <w:rPr>
          <w:rFonts w:hint="eastAsia" w:hAnsi="宋体"/>
          <w:color w:val="auto"/>
          <w:szCs w:val="21"/>
          <w:highlight w:val="none"/>
          <w:lang w:eastAsia="zh-CN"/>
        </w:rPr>
        <w:t>响应文件</w:t>
      </w:r>
      <w:r>
        <w:rPr>
          <w:rFonts w:hint="eastAsia" w:hAnsi="宋体"/>
          <w:color w:val="auto"/>
          <w:szCs w:val="21"/>
          <w:highlight w:val="none"/>
        </w:rPr>
        <w:t>在满足</w:t>
      </w:r>
      <w:r>
        <w:rPr>
          <w:rFonts w:hint="eastAsia" w:hAnsi="宋体"/>
          <w:color w:val="auto"/>
          <w:szCs w:val="21"/>
          <w:highlight w:val="none"/>
          <w:lang w:eastAsia="zh-CN"/>
        </w:rPr>
        <w:t>采购文件</w:t>
      </w:r>
      <w:r>
        <w:rPr>
          <w:rFonts w:hint="eastAsia" w:hAnsi="宋体"/>
          <w:color w:val="auto"/>
          <w:szCs w:val="21"/>
          <w:highlight w:val="none"/>
        </w:rPr>
        <w:t>实质性要求的基础上，可以提出比</w:t>
      </w:r>
      <w:r>
        <w:rPr>
          <w:rFonts w:hint="eastAsia" w:hAnsi="宋体"/>
          <w:color w:val="auto"/>
          <w:szCs w:val="21"/>
          <w:highlight w:val="none"/>
          <w:lang w:eastAsia="zh-CN"/>
        </w:rPr>
        <w:t>采购文件</w:t>
      </w:r>
      <w:r>
        <w:rPr>
          <w:rFonts w:hint="eastAsia" w:hAnsi="宋体"/>
          <w:color w:val="auto"/>
          <w:szCs w:val="21"/>
          <w:highlight w:val="none"/>
        </w:rPr>
        <w:t>要求更有利于招标人的承诺。</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lang w:eastAsia="zh-CN"/>
        </w:rPr>
        <w:t>供应商</w:t>
      </w:r>
      <w:r>
        <w:rPr>
          <w:rFonts w:hint="eastAsia" w:hAnsi="宋体"/>
          <w:color w:val="auto"/>
          <w:szCs w:val="21"/>
          <w:highlight w:val="none"/>
        </w:rPr>
        <w:t>不得将项目内容拆开</w:t>
      </w:r>
      <w:r>
        <w:rPr>
          <w:rFonts w:hint="eastAsia" w:hAnsi="宋体"/>
          <w:color w:val="auto"/>
          <w:szCs w:val="21"/>
          <w:highlight w:val="none"/>
          <w:lang w:eastAsia="zh-CN"/>
        </w:rPr>
        <w:t>响应</w:t>
      </w:r>
      <w:r>
        <w:rPr>
          <w:rFonts w:hint="eastAsia" w:hAnsi="宋体"/>
          <w:color w:val="auto"/>
          <w:szCs w:val="21"/>
          <w:highlight w:val="none"/>
        </w:rPr>
        <w:t>，否则其报价将被视为非实质性响应。</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lang w:eastAsia="zh-CN"/>
        </w:rPr>
        <w:t>供应商</w:t>
      </w:r>
      <w:r>
        <w:rPr>
          <w:rFonts w:hint="eastAsia" w:hAnsi="宋体"/>
          <w:color w:val="auto"/>
          <w:szCs w:val="21"/>
          <w:highlight w:val="none"/>
        </w:rPr>
        <w:t>应按</w:t>
      </w:r>
      <w:r>
        <w:rPr>
          <w:rFonts w:hint="eastAsia" w:hAnsi="宋体"/>
          <w:color w:val="auto"/>
          <w:szCs w:val="21"/>
          <w:highlight w:val="none"/>
          <w:lang w:eastAsia="zh-CN"/>
        </w:rPr>
        <w:t>采购文件</w:t>
      </w:r>
      <w:r>
        <w:rPr>
          <w:rFonts w:hint="eastAsia" w:hAnsi="宋体"/>
          <w:color w:val="auto"/>
          <w:szCs w:val="21"/>
          <w:highlight w:val="none"/>
        </w:rPr>
        <w:t>的规定及附件要求的内容和格式完整地填写和提供资料。</w:t>
      </w:r>
      <w:r>
        <w:rPr>
          <w:rFonts w:hint="eastAsia" w:hAnsi="宋体"/>
          <w:color w:val="auto"/>
          <w:szCs w:val="21"/>
          <w:highlight w:val="none"/>
          <w:lang w:eastAsia="zh-CN"/>
        </w:rPr>
        <w:t>供应商</w:t>
      </w:r>
      <w:r>
        <w:rPr>
          <w:rFonts w:hint="eastAsia" w:hAnsi="宋体"/>
          <w:color w:val="auto"/>
          <w:szCs w:val="21"/>
          <w:highlight w:val="none"/>
        </w:rPr>
        <w:t>必须对</w:t>
      </w:r>
      <w:r>
        <w:rPr>
          <w:rFonts w:hint="eastAsia" w:hAnsi="宋体"/>
          <w:color w:val="auto"/>
          <w:szCs w:val="21"/>
          <w:highlight w:val="none"/>
          <w:lang w:eastAsia="zh-CN"/>
        </w:rPr>
        <w:t>响应文件</w:t>
      </w:r>
      <w:r>
        <w:rPr>
          <w:rFonts w:hint="eastAsia" w:hAnsi="宋体"/>
          <w:color w:val="auto"/>
          <w:szCs w:val="21"/>
          <w:highlight w:val="none"/>
        </w:rPr>
        <w:t>所提供的全部资料的真实性承担法律责任，并无条件接受招标人对其中任何资料进行核实（核对原件）的要求。招标人核对发现有不一致或</w:t>
      </w:r>
      <w:r>
        <w:rPr>
          <w:rFonts w:hint="eastAsia" w:hAnsi="宋体"/>
          <w:color w:val="auto"/>
          <w:szCs w:val="21"/>
          <w:highlight w:val="none"/>
          <w:lang w:eastAsia="zh-CN"/>
        </w:rPr>
        <w:t>供应商</w:t>
      </w:r>
      <w:r>
        <w:rPr>
          <w:rFonts w:hint="eastAsia" w:hAnsi="宋体"/>
          <w:color w:val="auto"/>
          <w:szCs w:val="21"/>
          <w:highlight w:val="none"/>
        </w:rPr>
        <w:t>无正当理由不按时提供原件的，按中标无效处理。</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lang w:eastAsia="zh-CN"/>
        </w:rPr>
        <w:t>采购文件</w:t>
      </w:r>
      <w:r>
        <w:rPr>
          <w:rFonts w:hint="eastAsia" w:hAnsi="宋体"/>
          <w:color w:val="auto"/>
          <w:szCs w:val="21"/>
          <w:highlight w:val="none"/>
        </w:rPr>
        <w:t>中，所有合同条款为实质性响应条款，</w:t>
      </w:r>
      <w:r>
        <w:rPr>
          <w:rFonts w:hint="eastAsia" w:hAnsi="宋体"/>
          <w:color w:val="auto"/>
          <w:szCs w:val="21"/>
          <w:highlight w:val="none"/>
          <w:lang w:eastAsia="zh-CN"/>
        </w:rPr>
        <w:t>供应商</w:t>
      </w:r>
      <w:r>
        <w:rPr>
          <w:rFonts w:hint="eastAsia" w:hAnsi="宋体"/>
          <w:color w:val="auto"/>
          <w:szCs w:val="21"/>
          <w:highlight w:val="none"/>
        </w:rPr>
        <w:t>若有一项合同条款未响应或不满足，将按无效</w:t>
      </w:r>
      <w:r>
        <w:rPr>
          <w:rFonts w:hint="eastAsia" w:hAnsi="宋体"/>
          <w:color w:val="auto"/>
          <w:szCs w:val="21"/>
          <w:highlight w:val="none"/>
          <w:lang w:eastAsia="zh-CN"/>
        </w:rPr>
        <w:t>响应</w:t>
      </w:r>
      <w:r>
        <w:rPr>
          <w:rFonts w:hint="eastAsia" w:hAnsi="宋体"/>
          <w:color w:val="auto"/>
          <w:szCs w:val="21"/>
          <w:highlight w:val="none"/>
        </w:rPr>
        <w:t>处理。</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lang w:eastAsia="zh-CN"/>
        </w:rPr>
        <w:t>供应商</w:t>
      </w:r>
      <w:r>
        <w:rPr>
          <w:rFonts w:hint="eastAsia" w:hAnsi="宋体"/>
          <w:color w:val="auto"/>
          <w:szCs w:val="21"/>
          <w:highlight w:val="none"/>
        </w:rPr>
        <w:t>须对</w:t>
      </w:r>
      <w:r>
        <w:rPr>
          <w:rFonts w:hint="eastAsia" w:hAnsi="宋体"/>
          <w:color w:val="auto"/>
          <w:szCs w:val="21"/>
          <w:highlight w:val="none"/>
          <w:lang w:eastAsia="zh-CN"/>
        </w:rPr>
        <w:t>采购文件</w:t>
      </w:r>
      <w:r>
        <w:rPr>
          <w:rFonts w:hint="eastAsia" w:hAnsi="宋体"/>
          <w:color w:val="auto"/>
          <w:szCs w:val="21"/>
          <w:highlight w:val="none"/>
        </w:rPr>
        <w:t>的对应要求给予唯一的实质性响应，否则将视为不响应。</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除在</w:t>
      </w:r>
      <w:r>
        <w:rPr>
          <w:rFonts w:hint="eastAsia" w:hAnsi="宋体"/>
          <w:color w:val="auto"/>
          <w:szCs w:val="21"/>
          <w:highlight w:val="none"/>
          <w:lang w:eastAsia="zh-CN"/>
        </w:rPr>
        <w:t>采购文件</w:t>
      </w:r>
      <w:r>
        <w:rPr>
          <w:rFonts w:hint="eastAsia" w:hAnsi="宋体"/>
          <w:color w:val="auto"/>
          <w:szCs w:val="21"/>
          <w:highlight w:val="none"/>
        </w:rPr>
        <w:t>另有规定外，计量单位应使用中华人民共和国法定计量单位，以人民币填报所有报价。</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lang w:eastAsia="zh-CN"/>
        </w:rPr>
        <w:t>供应商</w:t>
      </w:r>
      <w:r>
        <w:rPr>
          <w:rFonts w:hint="eastAsia" w:hAnsi="宋体"/>
          <w:color w:val="auto"/>
          <w:szCs w:val="21"/>
          <w:highlight w:val="none"/>
        </w:rPr>
        <w:t>必须按</w:t>
      </w:r>
      <w:r>
        <w:rPr>
          <w:rFonts w:hint="eastAsia" w:hAnsi="宋体"/>
          <w:color w:val="auto"/>
          <w:szCs w:val="21"/>
          <w:highlight w:val="none"/>
          <w:lang w:eastAsia="zh-CN"/>
        </w:rPr>
        <w:t>采购文件</w:t>
      </w:r>
      <w:r>
        <w:rPr>
          <w:rFonts w:hint="eastAsia" w:hAnsi="宋体"/>
          <w:color w:val="auto"/>
          <w:szCs w:val="21"/>
          <w:highlight w:val="none"/>
        </w:rPr>
        <w:t>指定的格式填写各种报价，各报价应计算正确。</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lang w:eastAsia="zh-CN"/>
        </w:rPr>
        <w:t>响应文件</w:t>
      </w:r>
      <w:r>
        <w:rPr>
          <w:rFonts w:hint="eastAsia" w:hAnsi="宋体"/>
          <w:color w:val="auto"/>
          <w:szCs w:val="21"/>
          <w:highlight w:val="none"/>
        </w:rPr>
        <w:t>以及</w:t>
      </w:r>
      <w:r>
        <w:rPr>
          <w:rFonts w:hint="eastAsia" w:hAnsi="宋体"/>
          <w:color w:val="auto"/>
          <w:szCs w:val="21"/>
          <w:highlight w:val="none"/>
          <w:lang w:eastAsia="zh-CN"/>
        </w:rPr>
        <w:t>供应商</w:t>
      </w:r>
      <w:r>
        <w:rPr>
          <w:rFonts w:hint="eastAsia" w:hAnsi="宋体"/>
          <w:color w:val="auto"/>
          <w:szCs w:val="21"/>
          <w:highlight w:val="none"/>
        </w:rPr>
        <w:t>与招标人就有关</w:t>
      </w:r>
      <w:r>
        <w:rPr>
          <w:rFonts w:hint="eastAsia" w:hAnsi="宋体"/>
          <w:color w:val="auto"/>
          <w:szCs w:val="21"/>
          <w:highlight w:val="none"/>
          <w:lang w:eastAsia="zh-CN"/>
        </w:rPr>
        <w:t>响应</w:t>
      </w:r>
      <w:r>
        <w:rPr>
          <w:rFonts w:hint="eastAsia" w:hAnsi="宋体"/>
          <w:color w:val="auto"/>
          <w:szCs w:val="21"/>
          <w:highlight w:val="none"/>
        </w:rPr>
        <w:t>的往来函电均应使用中文。</w:t>
      </w:r>
      <w:r>
        <w:rPr>
          <w:rFonts w:hint="eastAsia" w:hAnsi="宋体"/>
          <w:color w:val="auto"/>
          <w:szCs w:val="21"/>
          <w:highlight w:val="none"/>
          <w:lang w:eastAsia="zh-CN"/>
        </w:rPr>
        <w:t>供应商</w:t>
      </w:r>
      <w:r>
        <w:rPr>
          <w:rFonts w:hint="eastAsia" w:hAnsi="宋体"/>
          <w:color w:val="auto"/>
          <w:szCs w:val="21"/>
          <w:highlight w:val="none"/>
        </w:rPr>
        <w:t>提交的支持性文件和印制的文件可以用另一种语言，但相应内容应翻译成中文，在解释</w:t>
      </w:r>
      <w:r>
        <w:rPr>
          <w:rFonts w:hint="eastAsia" w:hAnsi="宋体"/>
          <w:color w:val="auto"/>
          <w:szCs w:val="21"/>
          <w:highlight w:val="none"/>
          <w:lang w:eastAsia="zh-CN"/>
        </w:rPr>
        <w:t>响应文件</w:t>
      </w:r>
      <w:r>
        <w:rPr>
          <w:rFonts w:hint="eastAsia" w:hAnsi="宋体"/>
          <w:color w:val="auto"/>
          <w:szCs w:val="21"/>
          <w:highlight w:val="none"/>
        </w:rPr>
        <w:t>时以中文文本为准。</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11、</w:t>
      </w:r>
      <w:r>
        <w:rPr>
          <w:rFonts w:hint="eastAsia" w:hAnsi="宋体"/>
          <w:color w:val="auto"/>
          <w:szCs w:val="21"/>
          <w:highlight w:val="none"/>
          <w:lang w:eastAsia="zh-CN"/>
        </w:rPr>
        <w:t>响应文件</w:t>
      </w:r>
      <w:r>
        <w:rPr>
          <w:rFonts w:hint="eastAsia" w:hAnsi="宋体"/>
          <w:color w:val="auto"/>
          <w:szCs w:val="21"/>
          <w:highlight w:val="none"/>
        </w:rPr>
        <w:t>如有编页码，页码必须连续。</w:t>
      </w:r>
    </w:p>
    <w:p>
      <w:pPr>
        <w:numPr>
          <w:ilvl w:val="0"/>
          <w:numId w:val="0"/>
        </w:numPr>
        <w:spacing w:line="360" w:lineRule="auto"/>
        <w:ind w:leftChars="200"/>
        <w:rPr>
          <w:rFonts w:ascii="宋体" w:hAnsi="宋体" w:cs="Arial"/>
          <w:b/>
          <w:color w:val="auto"/>
          <w:szCs w:val="21"/>
          <w:highlight w:val="none"/>
        </w:rPr>
      </w:pPr>
      <w:r>
        <w:rPr>
          <w:rFonts w:hint="eastAsia" w:hAnsi="宋体"/>
          <w:color w:val="auto"/>
          <w:szCs w:val="21"/>
          <w:highlight w:val="none"/>
          <w:lang w:val="en-US" w:eastAsia="zh-CN"/>
        </w:rPr>
        <w:t>12、</w:t>
      </w:r>
      <w:r>
        <w:rPr>
          <w:rFonts w:hint="eastAsia" w:hAnsi="宋体"/>
          <w:color w:val="auto"/>
          <w:szCs w:val="21"/>
          <w:highlight w:val="none"/>
        </w:rPr>
        <w:t>对完整的电子</w:t>
      </w:r>
      <w:r>
        <w:rPr>
          <w:rFonts w:hint="eastAsia" w:hAnsi="宋体"/>
          <w:color w:val="auto"/>
          <w:szCs w:val="21"/>
          <w:highlight w:val="none"/>
          <w:lang w:eastAsia="zh-CN"/>
        </w:rPr>
        <w:t>响应文件</w:t>
      </w:r>
      <w:r>
        <w:rPr>
          <w:rFonts w:hint="eastAsia" w:hAnsi="宋体"/>
          <w:color w:val="auto"/>
          <w:szCs w:val="21"/>
          <w:highlight w:val="none"/>
        </w:rPr>
        <w:t>首页及</w:t>
      </w:r>
      <w:r>
        <w:rPr>
          <w:rFonts w:hint="eastAsia" w:hAnsi="宋体"/>
          <w:color w:val="auto"/>
          <w:szCs w:val="21"/>
          <w:highlight w:val="none"/>
          <w:lang w:eastAsia="zh-CN"/>
        </w:rPr>
        <w:t>响应文件</w:t>
      </w:r>
      <w:r>
        <w:rPr>
          <w:rFonts w:hint="eastAsia" w:hAnsi="宋体"/>
          <w:color w:val="auto"/>
          <w:szCs w:val="21"/>
          <w:highlight w:val="none"/>
        </w:rPr>
        <w:t>格式目录要求盖章处进行电子签章，视为具有有效、完整电子签章的</w:t>
      </w:r>
      <w:r>
        <w:rPr>
          <w:rFonts w:hint="eastAsia" w:hAnsi="宋体"/>
          <w:color w:val="auto"/>
          <w:szCs w:val="21"/>
          <w:highlight w:val="none"/>
          <w:lang w:eastAsia="zh-CN"/>
        </w:rPr>
        <w:t>响应文件</w:t>
      </w:r>
      <w:r>
        <w:rPr>
          <w:rFonts w:hint="eastAsia" w:hAnsi="宋体"/>
          <w:color w:val="auto"/>
          <w:szCs w:val="21"/>
          <w:highlight w:val="none"/>
        </w:rPr>
        <w:t>，具有同等的法律效力</w:t>
      </w:r>
    </w:p>
    <w:p>
      <w:pPr>
        <w:numPr>
          <w:ilvl w:val="0"/>
          <w:numId w:val="5"/>
        </w:numPr>
        <w:spacing w:line="360" w:lineRule="auto"/>
        <w:ind w:left="0" w:firstLine="422" w:firstLineChars="200"/>
        <w:rPr>
          <w:rFonts w:ascii="宋体" w:hAnsi="宋体" w:cs="Arial"/>
          <w:b/>
          <w:color w:val="auto"/>
          <w:szCs w:val="21"/>
          <w:highlight w:val="none"/>
        </w:rPr>
      </w:pPr>
      <w:r>
        <w:rPr>
          <w:rFonts w:hint="eastAsia" w:ascii="宋体" w:hAnsi="宋体" w:cs="Arial"/>
          <w:b/>
          <w:color w:val="auto"/>
          <w:szCs w:val="21"/>
          <w:highlight w:val="none"/>
        </w:rPr>
        <w:t>响应文件的递交</w:t>
      </w:r>
      <w:bookmarkEnd w:id="165"/>
    </w:p>
    <w:p>
      <w:pPr>
        <w:numPr>
          <w:ilvl w:val="0"/>
          <w:numId w:val="0"/>
        </w:numPr>
        <w:spacing w:line="360" w:lineRule="auto"/>
        <w:ind w:leftChars="200"/>
        <w:rPr>
          <w:rFonts w:hint="eastAsia" w:hAnsi="宋体"/>
          <w:color w:val="auto"/>
          <w:szCs w:val="21"/>
          <w:highlight w:val="none"/>
        </w:rPr>
      </w:pPr>
      <w:bookmarkStart w:id="171" w:name="_Toc479157942"/>
      <w:r>
        <w:rPr>
          <w:rFonts w:hint="eastAsia" w:hAnsi="宋体"/>
          <w:color w:val="auto"/>
          <w:szCs w:val="21"/>
          <w:highlight w:val="none"/>
        </w:rPr>
        <w:t>1、</w:t>
      </w:r>
      <w:r>
        <w:rPr>
          <w:rFonts w:hint="eastAsia" w:hAnsi="宋体"/>
          <w:color w:val="auto"/>
          <w:szCs w:val="21"/>
          <w:highlight w:val="none"/>
          <w:lang w:eastAsia="zh-CN"/>
        </w:rPr>
        <w:t>供应商</w:t>
      </w:r>
      <w:r>
        <w:rPr>
          <w:rFonts w:hint="eastAsia" w:hAnsi="宋体"/>
          <w:color w:val="auto"/>
          <w:szCs w:val="21"/>
          <w:highlight w:val="none"/>
        </w:rPr>
        <w:t>应在招标公告规定的提交</w:t>
      </w:r>
      <w:r>
        <w:rPr>
          <w:rFonts w:hint="eastAsia" w:hAnsi="宋体"/>
          <w:color w:val="auto"/>
          <w:szCs w:val="21"/>
          <w:highlight w:val="none"/>
          <w:lang w:eastAsia="zh-CN"/>
        </w:rPr>
        <w:t>响应文件</w:t>
      </w:r>
      <w:r>
        <w:rPr>
          <w:rFonts w:hint="eastAsia" w:hAnsi="宋体"/>
          <w:color w:val="auto"/>
          <w:szCs w:val="21"/>
          <w:highlight w:val="none"/>
        </w:rPr>
        <w:t>截止时间前，将</w:t>
      </w:r>
      <w:r>
        <w:rPr>
          <w:rFonts w:hint="eastAsia" w:hAnsi="宋体"/>
          <w:color w:val="auto"/>
          <w:szCs w:val="21"/>
          <w:highlight w:val="none"/>
          <w:lang w:eastAsia="zh-CN"/>
        </w:rPr>
        <w:t>响应文件</w:t>
      </w:r>
      <w:r>
        <w:rPr>
          <w:rFonts w:hint="eastAsia" w:hAnsi="宋体"/>
          <w:color w:val="auto"/>
          <w:szCs w:val="21"/>
          <w:highlight w:val="none"/>
        </w:rPr>
        <w:t>完整上传并保存在阳光采购服务平台系统中。</w:t>
      </w:r>
      <w:r>
        <w:rPr>
          <w:rFonts w:hint="eastAsia" w:hAnsi="宋体"/>
          <w:color w:val="auto"/>
          <w:szCs w:val="21"/>
          <w:highlight w:val="none"/>
          <w:lang w:eastAsia="zh-CN"/>
        </w:rPr>
        <w:t>响应</w:t>
      </w:r>
      <w:r>
        <w:rPr>
          <w:rFonts w:hint="eastAsia" w:hAnsi="宋体"/>
          <w:color w:val="auto"/>
          <w:szCs w:val="21"/>
          <w:highlight w:val="none"/>
        </w:rPr>
        <w:t>截止时间结束后，系统将不允许</w:t>
      </w:r>
      <w:r>
        <w:rPr>
          <w:rFonts w:hint="eastAsia" w:hAnsi="宋体"/>
          <w:color w:val="auto"/>
          <w:szCs w:val="21"/>
          <w:highlight w:val="none"/>
          <w:lang w:eastAsia="zh-CN"/>
        </w:rPr>
        <w:t>供应商</w:t>
      </w:r>
      <w:r>
        <w:rPr>
          <w:rFonts w:hint="eastAsia" w:hAnsi="宋体"/>
          <w:color w:val="auto"/>
          <w:szCs w:val="21"/>
          <w:highlight w:val="none"/>
        </w:rPr>
        <w:t>上传</w:t>
      </w:r>
      <w:r>
        <w:rPr>
          <w:rFonts w:hint="eastAsia" w:hAnsi="宋体"/>
          <w:color w:val="auto"/>
          <w:szCs w:val="21"/>
          <w:highlight w:val="none"/>
          <w:lang w:eastAsia="zh-CN"/>
        </w:rPr>
        <w:t>响应文件</w:t>
      </w:r>
      <w:r>
        <w:rPr>
          <w:rFonts w:hint="eastAsia" w:hAnsi="宋体"/>
          <w:color w:val="auto"/>
          <w:szCs w:val="21"/>
          <w:highlight w:val="none"/>
        </w:rPr>
        <w:t>。</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、本项目不接受现场纸质、邮寄纸质、电报、电话、传真方式投标。</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、阳光采购服务平台对因不可抗力事件造成的</w:t>
      </w:r>
      <w:r>
        <w:rPr>
          <w:rFonts w:hint="eastAsia" w:hAnsi="宋体"/>
          <w:color w:val="auto"/>
          <w:szCs w:val="21"/>
          <w:highlight w:val="none"/>
          <w:lang w:eastAsia="zh-CN"/>
        </w:rPr>
        <w:t>响应文件</w:t>
      </w:r>
      <w:r>
        <w:rPr>
          <w:rFonts w:hint="eastAsia" w:hAnsi="宋体"/>
          <w:color w:val="auto"/>
          <w:szCs w:val="21"/>
          <w:highlight w:val="none"/>
        </w:rPr>
        <w:t>的损坏、丢失的，不承担责任。</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、出现下述情形之一，属于未成功提交</w:t>
      </w:r>
      <w:r>
        <w:rPr>
          <w:rFonts w:hint="eastAsia" w:hAnsi="宋体"/>
          <w:color w:val="auto"/>
          <w:szCs w:val="21"/>
          <w:highlight w:val="none"/>
          <w:lang w:eastAsia="zh-CN"/>
        </w:rPr>
        <w:t>响应文件</w:t>
      </w:r>
      <w:r>
        <w:rPr>
          <w:rFonts w:hint="eastAsia" w:hAnsi="宋体"/>
          <w:color w:val="auto"/>
          <w:szCs w:val="21"/>
          <w:highlight w:val="none"/>
        </w:rPr>
        <w:t>：</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、至提交</w:t>
      </w:r>
      <w:r>
        <w:rPr>
          <w:rFonts w:hint="eastAsia" w:hAnsi="宋体"/>
          <w:color w:val="auto"/>
          <w:szCs w:val="21"/>
          <w:highlight w:val="none"/>
          <w:lang w:eastAsia="zh-CN"/>
        </w:rPr>
        <w:t>响应文件</w:t>
      </w:r>
      <w:r>
        <w:rPr>
          <w:rFonts w:hint="eastAsia" w:hAnsi="宋体"/>
          <w:color w:val="auto"/>
          <w:szCs w:val="21"/>
          <w:highlight w:val="none"/>
        </w:rPr>
        <w:t>截止时，</w:t>
      </w:r>
      <w:r>
        <w:rPr>
          <w:rFonts w:hint="eastAsia" w:hAnsi="宋体"/>
          <w:color w:val="auto"/>
          <w:szCs w:val="21"/>
          <w:highlight w:val="none"/>
          <w:lang w:eastAsia="zh-CN"/>
        </w:rPr>
        <w:t>响应文件</w:t>
      </w:r>
      <w:r>
        <w:rPr>
          <w:rFonts w:hint="eastAsia" w:hAnsi="宋体"/>
          <w:color w:val="auto"/>
          <w:szCs w:val="21"/>
          <w:highlight w:val="none"/>
        </w:rPr>
        <w:t>未完整上传并保存的。</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w:t>
      </w:r>
      <w:r>
        <w:rPr>
          <w:rFonts w:hint="eastAsia" w:hAnsi="宋体"/>
          <w:color w:val="auto"/>
          <w:szCs w:val="21"/>
          <w:highlight w:val="none"/>
          <w:lang w:eastAsia="zh-CN"/>
        </w:rPr>
        <w:t>响应文件</w:t>
      </w:r>
      <w:r>
        <w:rPr>
          <w:rFonts w:hint="eastAsia" w:hAnsi="宋体"/>
          <w:color w:val="auto"/>
          <w:szCs w:val="21"/>
          <w:highlight w:val="none"/>
        </w:rPr>
        <w:t>未按要求进行电子签名和电子签章，或电子签名或电子签章不完整的。</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w:t>
      </w:r>
      <w:r>
        <w:rPr>
          <w:rFonts w:hint="eastAsia" w:hAnsi="宋体"/>
          <w:color w:val="auto"/>
          <w:szCs w:val="21"/>
          <w:highlight w:val="none"/>
          <w:lang w:eastAsia="zh-CN"/>
        </w:rPr>
        <w:t>响应文件</w:t>
      </w:r>
      <w:r>
        <w:rPr>
          <w:rFonts w:hint="eastAsia" w:hAnsi="宋体"/>
          <w:color w:val="auto"/>
          <w:szCs w:val="21"/>
          <w:highlight w:val="none"/>
        </w:rPr>
        <w:t>损坏或格式不正确的。</w:t>
      </w:r>
    </w:p>
    <w:p>
      <w:pPr>
        <w:numPr>
          <w:ilvl w:val="0"/>
          <w:numId w:val="0"/>
        </w:numPr>
        <w:spacing w:line="360" w:lineRule="auto"/>
        <w:ind w:leftChars="200"/>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未使用最新发布的</w:t>
      </w:r>
      <w:r>
        <w:rPr>
          <w:rFonts w:hint="eastAsia" w:hAnsi="宋体"/>
          <w:color w:val="auto"/>
          <w:szCs w:val="21"/>
          <w:highlight w:val="none"/>
          <w:lang w:eastAsia="zh-CN"/>
        </w:rPr>
        <w:t>采购文件</w:t>
      </w:r>
      <w:r>
        <w:rPr>
          <w:rFonts w:hint="eastAsia" w:hAnsi="宋体"/>
          <w:color w:val="auto"/>
          <w:szCs w:val="21"/>
          <w:highlight w:val="none"/>
        </w:rPr>
        <w:t>制作</w:t>
      </w:r>
      <w:r>
        <w:rPr>
          <w:rFonts w:hint="eastAsia" w:hAnsi="宋体"/>
          <w:color w:val="auto"/>
          <w:szCs w:val="21"/>
          <w:highlight w:val="none"/>
          <w:lang w:eastAsia="zh-CN"/>
        </w:rPr>
        <w:t>响应文件</w:t>
      </w:r>
      <w:r>
        <w:rPr>
          <w:rFonts w:hint="eastAsia" w:hAnsi="宋体"/>
          <w:color w:val="auto"/>
          <w:szCs w:val="21"/>
          <w:highlight w:val="none"/>
        </w:rPr>
        <w:t>的。</w:t>
      </w:r>
    </w:p>
    <w:p>
      <w:pPr>
        <w:numPr>
          <w:ilvl w:val="0"/>
          <w:numId w:val="5"/>
        </w:numPr>
        <w:spacing w:line="360" w:lineRule="auto"/>
        <w:ind w:left="0" w:firstLine="422" w:firstLineChars="200"/>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响应文件的修改与撤回</w:t>
      </w:r>
      <w:bookmarkEnd w:id="166"/>
      <w:bookmarkEnd w:id="167"/>
      <w:bookmarkEnd w:id="168"/>
      <w:bookmarkEnd w:id="169"/>
      <w:bookmarkEnd w:id="170"/>
      <w:bookmarkEnd w:id="171"/>
    </w:p>
    <w:p>
      <w:pPr>
        <w:pStyle w:val="9"/>
        <w:ind w:firstLine="420" w:firstLineChars="200"/>
        <w:rPr>
          <w:rFonts w:hAnsi="宋体"/>
          <w:color w:val="auto"/>
          <w:szCs w:val="21"/>
          <w:highlight w:val="none"/>
        </w:rPr>
      </w:pPr>
      <w:bookmarkStart w:id="172" w:name="_Toc479157943"/>
      <w:r>
        <w:rPr>
          <w:rFonts w:hint="eastAsia" w:hAnsi="宋体"/>
          <w:color w:val="auto"/>
          <w:szCs w:val="21"/>
          <w:highlight w:val="none"/>
        </w:rPr>
        <w:t>1、在提交</w:t>
      </w:r>
      <w:r>
        <w:rPr>
          <w:rFonts w:hint="eastAsia" w:hAnsi="宋体"/>
          <w:color w:val="auto"/>
          <w:szCs w:val="21"/>
          <w:highlight w:val="none"/>
          <w:lang w:eastAsia="zh-CN"/>
        </w:rPr>
        <w:t>响应文件</w:t>
      </w:r>
      <w:r>
        <w:rPr>
          <w:rFonts w:hint="eastAsia" w:hAnsi="宋体"/>
          <w:color w:val="auto"/>
          <w:szCs w:val="21"/>
          <w:highlight w:val="none"/>
        </w:rPr>
        <w:t>截止时间前，</w:t>
      </w:r>
      <w:r>
        <w:rPr>
          <w:rFonts w:hint="eastAsia" w:hAnsi="宋体"/>
          <w:color w:val="auto"/>
          <w:szCs w:val="21"/>
          <w:highlight w:val="none"/>
          <w:lang w:eastAsia="zh-CN"/>
        </w:rPr>
        <w:t>供应商</w:t>
      </w:r>
      <w:r>
        <w:rPr>
          <w:rFonts w:hint="eastAsia" w:hAnsi="宋体"/>
          <w:color w:val="auto"/>
          <w:szCs w:val="21"/>
          <w:highlight w:val="none"/>
        </w:rPr>
        <w:t>可以修改或撤回未解密的</w:t>
      </w:r>
      <w:r>
        <w:rPr>
          <w:rFonts w:hint="eastAsia" w:hAnsi="宋体"/>
          <w:color w:val="auto"/>
          <w:szCs w:val="21"/>
          <w:highlight w:val="none"/>
          <w:lang w:eastAsia="zh-CN"/>
        </w:rPr>
        <w:t>响应文件</w:t>
      </w:r>
      <w:r>
        <w:rPr>
          <w:rFonts w:hint="eastAsia" w:hAnsi="宋体"/>
          <w:color w:val="auto"/>
          <w:szCs w:val="21"/>
          <w:highlight w:val="none"/>
        </w:rPr>
        <w:t>，</w:t>
      </w:r>
      <w:r>
        <w:rPr>
          <w:rFonts w:hint="eastAsia" w:hAnsi="宋体"/>
          <w:color w:val="auto"/>
          <w:szCs w:val="21"/>
          <w:highlight w:val="none"/>
          <w:lang w:eastAsia="zh-CN"/>
        </w:rPr>
        <w:t>响应文件</w:t>
      </w:r>
      <w:r>
        <w:rPr>
          <w:rFonts w:hint="eastAsia" w:hAnsi="宋体"/>
          <w:color w:val="auto"/>
          <w:szCs w:val="21"/>
          <w:highlight w:val="none"/>
        </w:rPr>
        <w:t>一经解密，将不允许修改或撤回。</w:t>
      </w:r>
      <w:bookmarkEnd w:id="172"/>
      <w:bookmarkStart w:id="173" w:name="_Toc134955426"/>
    </w:p>
    <w:p>
      <w:pPr>
        <w:pStyle w:val="9"/>
        <w:ind w:firstLine="420" w:firstLineChars="200"/>
        <w:rPr>
          <w:rFonts w:hAnsi="宋体"/>
          <w:color w:val="auto"/>
          <w:szCs w:val="21"/>
          <w:highlight w:val="none"/>
        </w:rPr>
      </w:pPr>
      <w:bookmarkStart w:id="174" w:name="_Toc479157946"/>
      <w:r>
        <w:rPr>
          <w:rFonts w:hint="eastAsia" w:hAnsi="宋体"/>
          <w:color w:val="auto"/>
          <w:szCs w:val="21"/>
          <w:highlight w:val="none"/>
          <w:lang w:val="en-US" w:eastAsia="zh-CN"/>
        </w:rPr>
        <w:t>2</w:t>
      </w:r>
      <w:r>
        <w:rPr>
          <w:rFonts w:hint="eastAsia" w:hAnsi="宋体"/>
          <w:color w:val="auto"/>
          <w:szCs w:val="21"/>
          <w:highlight w:val="none"/>
        </w:rPr>
        <w:t>、已提交响应文件的供应商，在提交最后报价之前，可以根据磋商情况退出磋商。</w:t>
      </w:r>
      <w:bookmarkEnd w:id="173"/>
      <w:bookmarkEnd w:id="174"/>
    </w:p>
    <w:p>
      <w:pPr>
        <w:numPr>
          <w:ilvl w:val="0"/>
          <w:numId w:val="5"/>
        </w:numPr>
        <w:spacing w:line="360" w:lineRule="auto"/>
        <w:ind w:left="0" w:firstLine="422" w:firstLineChars="200"/>
        <w:rPr>
          <w:rFonts w:ascii="宋体" w:hAnsi="宋体" w:cs="Arial"/>
          <w:b/>
          <w:color w:val="auto"/>
          <w:szCs w:val="21"/>
          <w:highlight w:val="none"/>
        </w:rPr>
      </w:pPr>
      <w:bookmarkStart w:id="175" w:name="_Toc479157947"/>
      <w:bookmarkStart w:id="176" w:name="_Toc98579004"/>
      <w:bookmarkStart w:id="177" w:name="_Toc41884698"/>
      <w:bookmarkStart w:id="178" w:name="_Toc101771370"/>
      <w:bookmarkStart w:id="179" w:name="_Toc98580286"/>
      <w:bookmarkStart w:id="180" w:name="_Toc42394666"/>
      <w:bookmarkStart w:id="181" w:name="_Toc42394509"/>
      <w:bookmarkStart w:id="182" w:name="_Toc42313164"/>
      <w:bookmarkStart w:id="183" w:name="_Toc98579062"/>
      <w:bookmarkStart w:id="184" w:name="_Toc98579603"/>
      <w:bookmarkStart w:id="185" w:name="_Toc50276150"/>
      <w:bookmarkStart w:id="186" w:name="_Toc101775123"/>
      <w:bookmarkStart w:id="187" w:name="_Toc101843123"/>
      <w:bookmarkStart w:id="188" w:name="_Toc41723928"/>
      <w:bookmarkStart w:id="189" w:name="_Toc134956132"/>
      <w:bookmarkStart w:id="190" w:name="_Toc101951256"/>
      <w:r>
        <w:rPr>
          <w:rFonts w:hint="eastAsia" w:ascii="宋体" w:hAnsi="宋体" w:cs="Arial"/>
          <w:b/>
          <w:color w:val="auto"/>
          <w:szCs w:val="21"/>
          <w:highlight w:val="none"/>
        </w:rPr>
        <w:t>响应有效期</w:t>
      </w:r>
      <w:bookmarkEnd w:id="175"/>
    </w:p>
    <w:p>
      <w:pPr>
        <w:pStyle w:val="9"/>
        <w:ind w:firstLine="422" w:firstLineChars="200"/>
        <w:rPr>
          <w:rFonts w:hAnsi="宋体"/>
          <w:color w:val="auto"/>
          <w:szCs w:val="21"/>
          <w:highlight w:val="none"/>
        </w:rPr>
      </w:pPr>
      <w:r>
        <w:rPr>
          <w:rFonts w:hint="eastAsia" w:hAnsi="宋体" w:cs="Arial"/>
          <w:b/>
          <w:color w:val="auto"/>
          <w:szCs w:val="21"/>
          <w:highlight w:val="none"/>
        </w:rPr>
        <w:t>响应有效期详见</w:t>
      </w:r>
      <w:r>
        <w:rPr>
          <w:rFonts w:hint="eastAsia" w:hAnsi="宋体"/>
          <w:color w:val="auto"/>
          <w:szCs w:val="21"/>
          <w:highlight w:val="none"/>
        </w:rPr>
        <w:t>《供应商须知前附表》。在特殊情况下，采购代理机构可于响应有效期满之前要求供应商同意延长有效期，要求与答复均以书面形式进行，同意延期的供应商其权利与义务相应延至新的截止期。</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numPr>
          <w:ilvl w:val="0"/>
          <w:numId w:val="5"/>
        </w:numPr>
        <w:spacing w:line="360" w:lineRule="auto"/>
        <w:ind w:left="0" w:firstLine="422" w:firstLineChars="200"/>
        <w:rPr>
          <w:rFonts w:hint="eastAsia" w:ascii="宋体" w:hAnsi="宋体" w:cs="Arial"/>
          <w:b/>
          <w:color w:val="auto"/>
          <w:szCs w:val="21"/>
          <w:highlight w:val="none"/>
        </w:rPr>
      </w:pPr>
      <w:r>
        <w:rPr>
          <w:rFonts w:hint="eastAsia" w:ascii="宋体" w:hAnsi="宋体" w:cs="Arial"/>
          <w:b/>
          <w:color w:val="auto"/>
          <w:szCs w:val="21"/>
          <w:highlight w:val="none"/>
        </w:rPr>
        <w:t>样品（如有）</w:t>
      </w:r>
    </w:p>
    <w:p>
      <w:pPr>
        <w:pStyle w:val="9"/>
        <w:ind w:firstLine="420" w:firstLineChars="200"/>
        <w:rPr>
          <w:rFonts w:hint="eastAsia" w:hAnsi="宋体"/>
          <w:color w:val="auto"/>
          <w:szCs w:val="21"/>
          <w:highlight w:val="none"/>
        </w:rPr>
      </w:pPr>
      <w:r>
        <w:rPr>
          <w:rFonts w:hint="eastAsia" w:hAnsi="宋体"/>
          <w:color w:val="auto"/>
          <w:szCs w:val="21"/>
          <w:highlight w:val="none"/>
        </w:rPr>
        <w:t>1、本项目如要求提交样品的，采购代理机构在收取样品时不对样品外观进行验收及性能测试，对样品的破损或质量概不负责。</w:t>
      </w:r>
    </w:p>
    <w:p>
      <w:pPr>
        <w:pStyle w:val="9"/>
        <w:ind w:firstLine="420" w:firstLineChars="200"/>
        <w:rPr>
          <w:rFonts w:hint="eastAsia" w:hAnsi="宋体"/>
          <w:color w:val="auto"/>
          <w:szCs w:val="21"/>
          <w:highlight w:val="none"/>
        </w:rPr>
      </w:pPr>
      <w:r>
        <w:rPr>
          <w:rFonts w:hint="eastAsia" w:hAnsi="宋体"/>
          <w:color w:val="auto"/>
          <w:szCs w:val="21"/>
          <w:highlight w:val="none"/>
        </w:rPr>
        <w:t>2、由于采购代理机构存放样品的空间有限，采购活动结束后，非成交供应商提供的样品，应当在成交结果公告发布之日起5个工作日内自行取回，否则视为供应商自动遗弃，采购代理机构有权处理。</w:t>
      </w:r>
    </w:p>
    <w:p>
      <w:pPr>
        <w:pStyle w:val="9"/>
        <w:ind w:firstLine="420" w:firstLineChars="200"/>
        <w:rPr>
          <w:rFonts w:hint="eastAsia" w:hAnsi="宋体"/>
          <w:color w:val="auto"/>
          <w:szCs w:val="21"/>
          <w:highlight w:val="none"/>
        </w:rPr>
      </w:pPr>
      <w:r>
        <w:rPr>
          <w:rFonts w:hint="eastAsia" w:hAnsi="宋体"/>
          <w:color w:val="auto"/>
          <w:szCs w:val="21"/>
          <w:highlight w:val="none"/>
        </w:rPr>
        <w:t>3、成交供应商提供的样品，由采购人进行保管、封存，并作为履约验收的证据。</w:t>
      </w:r>
    </w:p>
    <w:p>
      <w:pPr>
        <w:numPr>
          <w:ilvl w:val="0"/>
          <w:numId w:val="5"/>
        </w:numPr>
        <w:spacing w:line="360" w:lineRule="auto"/>
        <w:ind w:left="0" w:firstLine="422" w:firstLineChars="200"/>
        <w:rPr>
          <w:rFonts w:ascii="宋体" w:hAnsi="宋体" w:cs="Arial"/>
          <w:b/>
          <w:color w:val="auto"/>
          <w:szCs w:val="21"/>
          <w:highlight w:val="none"/>
        </w:rPr>
      </w:pPr>
      <w:bookmarkStart w:id="191" w:name="_Toc479157966"/>
      <w:r>
        <w:rPr>
          <w:rFonts w:hint="eastAsia" w:ascii="宋体" w:hAnsi="宋体" w:cs="Arial"/>
          <w:b/>
          <w:color w:val="auto"/>
          <w:szCs w:val="21"/>
          <w:highlight w:val="none"/>
        </w:rPr>
        <w:t>采购文件的解释权</w:t>
      </w:r>
      <w:bookmarkEnd w:id="191"/>
    </w:p>
    <w:p>
      <w:pPr>
        <w:pStyle w:val="9"/>
        <w:ind w:firstLine="420" w:firstLineChars="200"/>
        <w:rPr>
          <w:color w:val="auto"/>
          <w:highlight w:val="none"/>
        </w:rPr>
      </w:pPr>
      <w:bookmarkStart w:id="192" w:name="_Toc479157967"/>
      <w:r>
        <w:rPr>
          <w:rFonts w:hint="eastAsia" w:hAnsi="宋体"/>
          <w:color w:val="auto"/>
          <w:szCs w:val="21"/>
          <w:highlight w:val="none"/>
        </w:rPr>
        <w:t>本采购文件由广东省机电设备招标有限公司负责解释。</w:t>
      </w:r>
      <w:bookmarkEnd w:id="192"/>
      <w:bookmarkStart w:id="193" w:name="_Toc40762370"/>
      <w:bookmarkStart w:id="194" w:name="_Toc37331080"/>
      <w:bookmarkStart w:id="195" w:name="_Toc98580292"/>
      <w:bookmarkStart w:id="196" w:name="_Toc50276156"/>
      <w:bookmarkStart w:id="197" w:name="_Toc98579010"/>
      <w:bookmarkStart w:id="198" w:name="_Toc37245276"/>
      <w:bookmarkStart w:id="199" w:name="_Toc50276195"/>
      <w:bookmarkStart w:id="200" w:name="_Toc37331038"/>
      <w:bookmarkStart w:id="201" w:name="_Toc37663391"/>
      <w:bookmarkStart w:id="202" w:name="_Toc37569519"/>
      <w:bookmarkStart w:id="203" w:name="_Toc46308527"/>
      <w:bookmarkStart w:id="204" w:name="_Toc98579068"/>
      <w:bookmarkStart w:id="205" w:name="_Toc46308683"/>
      <w:bookmarkStart w:id="206" w:name="_Toc37581420"/>
      <w:bookmarkStart w:id="207" w:name="_Toc98579609"/>
      <w:bookmarkStart w:id="208" w:name="_Toc98035088"/>
    </w:p>
    <w:p>
      <w:pPr>
        <w:pStyle w:val="8"/>
        <w:rPr>
          <w:rFonts w:hAnsi="宋体"/>
          <w:b/>
          <w:color w:val="auto"/>
          <w:sz w:val="24"/>
          <w:szCs w:val="24"/>
          <w:highlight w:val="none"/>
        </w:rPr>
      </w:pPr>
      <w:bookmarkStart w:id="209" w:name="_Toc504688279"/>
      <w:bookmarkStart w:id="210" w:name="_Toc504694647"/>
      <w:r>
        <w:rPr>
          <w:rFonts w:hint="eastAsia" w:hAnsi="宋体"/>
          <w:b/>
          <w:color w:val="auto"/>
          <w:sz w:val="24"/>
          <w:szCs w:val="24"/>
          <w:highlight w:val="none"/>
        </w:rPr>
        <w:t>五、</w:t>
      </w:r>
      <w:bookmarkEnd w:id="209"/>
      <w:bookmarkEnd w:id="210"/>
      <w:r>
        <w:rPr>
          <w:rFonts w:hint="eastAsia" w:hAnsi="宋体"/>
          <w:b/>
          <w:color w:val="auto"/>
          <w:sz w:val="24"/>
          <w:szCs w:val="24"/>
          <w:highlight w:val="none"/>
        </w:rPr>
        <w:t>适用法律</w:t>
      </w:r>
    </w:p>
    <w:p>
      <w:pPr>
        <w:pStyle w:val="9"/>
        <w:ind w:firstLine="420" w:firstLineChars="200"/>
        <w:rPr>
          <w:rFonts w:hAnsi="宋体"/>
          <w:color w:val="auto"/>
          <w:szCs w:val="21"/>
          <w:highlight w:val="none"/>
        </w:rPr>
      </w:pPr>
      <w:r>
        <w:rPr>
          <w:rFonts w:hint="eastAsia" w:hAnsi="宋体"/>
          <w:color w:val="auto"/>
          <w:szCs w:val="21"/>
          <w:highlight w:val="none"/>
        </w:rPr>
        <w:t>本项目非政府采购项目。</w:t>
      </w:r>
    </w:p>
    <w:p>
      <w:pPr>
        <w:pStyle w:val="6"/>
        <w:numPr>
          <w:ilvl w:val="0"/>
          <w:numId w:val="6"/>
        </w:numPr>
        <w:spacing w:before="240" w:beforeLines="100" w:after="120" w:line="360" w:lineRule="auto"/>
        <w:jc w:val="center"/>
        <w:rPr>
          <w:rFonts w:hint="eastAsia" w:ascii="宋体" w:hAnsi="宋体"/>
          <w:color w:val="auto"/>
          <w:sz w:val="30"/>
          <w:szCs w:val="30"/>
          <w:highlight w:val="none"/>
        </w:rPr>
      </w:pPr>
      <w:r>
        <w:rPr>
          <w:rFonts w:ascii="宋体" w:hAnsi="宋体"/>
          <w:b w:val="0"/>
          <w:color w:val="auto"/>
          <w:sz w:val="21"/>
          <w:szCs w:val="21"/>
          <w:highlight w:val="none"/>
        </w:rPr>
        <w:br w:type="page"/>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Start w:id="211" w:name="_Toc509392317"/>
      <w:bookmarkStart w:id="212" w:name="_Toc101843124"/>
      <w:bookmarkStart w:id="213" w:name="_Toc101951257"/>
      <w:bookmarkStart w:id="214" w:name="_Toc452373430"/>
      <w:bookmarkStart w:id="215" w:name="_Toc101775124"/>
      <w:bookmarkStart w:id="216" w:name="_Toc16301"/>
      <w:bookmarkStart w:id="217" w:name="_Toc101771371"/>
      <w:bookmarkStart w:id="218" w:name="_Toc175644388"/>
      <w:bookmarkStart w:id="219" w:name="_Toc2074414"/>
      <w:bookmarkStart w:id="220" w:name="_Toc479157968"/>
      <w:bookmarkStart w:id="221" w:name="_Toc40762371"/>
      <w:bookmarkStart w:id="222" w:name="_Toc37569520"/>
      <w:bookmarkStart w:id="223" w:name="_Toc37331081"/>
      <w:bookmarkStart w:id="224" w:name="_Toc37331039"/>
      <w:bookmarkStart w:id="225" w:name="_Toc37245277"/>
      <w:bookmarkStart w:id="226" w:name="_Toc46308528"/>
      <w:bookmarkStart w:id="227" w:name="_Toc37581421"/>
      <w:bookmarkStart w:id="228" w:name="_Toc46308684"/>
      <w:bookmarkStart w:id="229" w:name="_Toc37663392"/>
      <w:r>
        <w:rPr>
          <w:rFonts w:hint="eastAsia" w:ascii="宋体" w:hAnsi="宋体"/>
          <w:color w:val="auto"/>
          <w:sz w:val="30"/>
          <w:szCs w:val="30"/>
          <w:highlight w:val="none"/>
        </w:rPr>
        <w:t>采购人需求</w:t>
      </w:r>
      <w:bookmarkEnd w:id="211"/>
      <w:bookmarkEnd w:id="212"/>
      <w:bookmarkEnd w:id="213"/>
      <w:bookmarkEnd w:id="214"/>
      <w:bookmarkEnd w:id="215"/>
      <w:bookmarkEnd w:id="216"/>
      <w:bookmarkEnd w:id="217"/>
      <w:bookmarkEnd w:id="218"/>
      <w:bookmarkEnd w:id="219"/>
      <w:bookmarkEnd w:id="22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9140" w:type="dxa"/>
            <w:noWrap w:val="0"/>
            <w:vAlign w:val="top"/>
          </w:tcPr>
          <w:p>
            <w:pPr>
              <w:spacing w:line="400" w:lineRule="exact"/>
              <w:rPr>
                <w:rFonts w:hint="eastAsia"/>
                <w:b/>
                <w:color w:val="auto"/>
                <w:highlight w:val="none"/>
              </w:rPr>
            </w:pPr>
            <w:r>
              <w:rPr>
                <w:rFonts w:hint="eastAsia"/>
                <w:b/>
                <w:color w:val="auto"/>
                <w:highlight w:val="none"/>
              </w:rPr>
              <w:t>【说明】</w:t>
            </w:r>
          </w:p>
          <w:p>
            <w:pPr>
              <w:numPr>
                <w:ilvl w:val="1"/>
                <w:numId w:val="7"/>
              </w:numPr>
              <w:tabs>
                <w:tab w:val="clear" w:pos="0"/>
              </w:tabs>
              <w:spacing w:line="400" w:lineRule="exact"/>
              <w:ind w:firstLine="420" w:firstLineChars="200"/>
              <w:rPr>
                <w:color w:val="auto"/>
                <w:szCs w:val="21"/>
                <w:highlight w:val="none"/>
              </w:rPr>
            </w:pPr>
            <w:r>
              <w:rPr>
                <w:rFonts w:hint="eastAsia"/>
                <w:color w:val="auto"/>
                <w:szCs w:val="21"/>
                <w:highlight w:val="none"/>
              </w:rPr>
              <w:t>如标有“★”的条款为必须完全满足的实质性要求，</w:t>
            </w:r>
            <w:r>
              <w:rPr>
                <w:rFonts w:hint="eastAsia"/>
                <w:bCs/>
                <w:color w:val="auto"/>
                <w:szCs w:val="21"/>
                <w:highlight w:val="none"/>
              </w:rPr>
              <w:t>供应商</w:t>
            </w:r>
            <w:r>
              <w:rPr>
                <w:rFonts w:hint="eastAsia"/>
                <w:color w:val="auto"/>
                <w:szCs w:val="21"/>
                <w:highlight w:val="none"/>
              </w:rPr>
              <w:t>如有一项带“★”的条款未响应或负偏离，将按无效响应处理.</w:t>
            </w:r>
          </w:p>
          <w:p>
            <w:pPr>
              <w:numPr>
                <w:ilvl w:val="1"/>
                <w:numId w:val="7"/>
              </w:numPr>
              <w:tabs>
                <w:tab w:val="clear" w:pos="0"/>
              </w:tabs>
              <w:spacing w:line="400" w:lineRule="exact"/>
              <w:ind w:firstLine="420" w:firstLineChars="200"/>
              <w:rPr>
                <w:color w:val="auto"/>
                <w:szCs w:val="21"/>
                <w:highlight w:val="none"/>
              </w:rPr>
            </w:pPr>
            <w:r>
              <w:rPr>
                <w:rFonts w:hint="eastAsia"/>
                <w:color w:val="auto"/>
                <w:szCs w:val="21"/>
                <w:highlight w:val="none"/>
              </w:rPr>
              <w:t>如标有“▲”的条款为重要性要求，</w:t>
            </w:r>
            <w:r>
              <w:rPr>
                <w:rFonts w:hint="eastAsia"/>
                <w:bCs/>
                <w:color w:val="auto"/>
                <w:szCs w:val="21"/>
                <w:highlight w:val="none"/>
              </w:rPr>
              <w:t>供应商</w:t>
            </w:r>
            <w:r>
              <w:rPr>
                <w:rFonts w:hint="eastAsia"/>
                <w:color w:val="auto"/>
                <w:szCs w:val="21"/>
                <w:highlight w:val="none"/>
              </w:rPr>
              <w:t>如有“▲”的条款未响应或负偏离的将被严重扣分，但不会导致响应无效。</w:t>
            </w:r>
          </w:p>
          <w:p>
            <w:pPr>
              <w:numPr>
                <w:ilvl w:val="1"/>
                <w:numId w:val="7"/>
              </w:numPr>
              <w:tabs>
                <w:tab w:val="clear" w:pos="0"/>
              </w:tabs>
              <w:spacing w:line="400" w:lineRule="exact"/>
              <w:ind w:firstLine="420" w:firstLineChars="200"/>
              <w:rPr>
                <w:rFonts w:hint="eastAsia"/>
                <w:color w:val="auto"/>
                <w:highlight w:val="none"/>
              </w:rPr>
            </w:pPr>
            <w:r>
              <w:rPr>
                <w:rFonts w:hint="eastAsia"/>
                <w:bCs/>
                <w:color w:val="auto"/>
                <w:szCs w:val="21"/>
                <w:highlight w:val="none"/>
              </w:rPr>
              <w:t>成交供应商不得将项目转包，如发现转包，采购人有权终止合同，所造成的损失由成交供应商负责</w:t>
            </w:r>
            <w:r>
              <w:rPr>
                <w:color w:val="auto"/>
                <w:szCs w:val="21"/>
                <w:highlight w:val="none"/>
              </w:rPr>
              <w:t>。</w:t>
            </w:r>
          </w:p>
        </w:tc>
      </w:tr>
    </w:tbl>
    <w:p>
      <w:pPr>
        <w:rPr>
          <w:rFonts w:hint="eastAsia"/>
          <w:color w:val="auto"/>
          <w:highlight w:val="none"/>
        </w:rPr>
      </w:pPr>
    </w:p>
    <w:bookmarkEnd w:id="221"/>
    <w:bookmarkEnd w:id="222"/>
    <w:bookmarkEnd w:id="223"/>
    <w:bookmarkEnd w:id="224"/>
    <w:bookmarkEnd w:id="225"/>
    <w:bookmarkEnd w:id="226"/>
    <w:bookmarkEnd w:id="227"/>
    <w:bookmarkEnd w:id="228"/>
    <w:bookmarkEnd w:id="229"/>
    <w:p>
      <w:pPr>
        <w:keepNext w:val="0"/>
        <w:keepLines w:val="0"/>
        <w:pageBreakBefore w:val="0"/>
        <w:widowControl w:val="0"/>
        <w:tabs>
          <w:tab w:val="left" w:pos="567"/>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230" w:name="_Toc2074420"/>
      <w:bookmarkStart w:id="231" w:name="_Toc11158"/>
      <w:bookmarkStart w:id="232" w:name="_Toc509392322"/>
      <w:bookmarkStart w:id="233" w:name="_Toc50276166"/>
      <w:bookmarkStart w:id="234" w:name="_Toc42394674"/>
      <w:bookmarkStart w:id="235" w:name="_Toc41884707"/>
      <w:bookmarkStart w:id="236" w:name="_Toc46308532"/>
      <w:bookmarkStart w:id="237" w:name="_Toc46308688"/>
      <w:bookmarkStart w:id="238" w:name="_Toc42394518"/>
      <w:bookmarkStart w:id="239" w:name="_Toc98579012"/>
      <w:bookmarkStart w:id="240" w:name="_Toc98035090"/>
      <w:bookmarkStart w:id="241" w:name="_Toc98579070"/>
      <w:bookmarkStart w:id="242" w:name="_Toc50276205"/>
      <w:bookmarkStart w:id="243" w:name="_Toc98579611"/>
      <w:bookmarkStart w:id="244" w:name="_Toc98580294"/>
      <w:bookmarkStart w:id="245" w:name="_Toc42313173"/>
      <w:bookmarkStart w:id="246" w:name="_Toc41723937"/>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项目简要</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31"/>
        <w:gridCol w:w="900"/>
        <w:gridCol w:w="1845"/>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adjustRightInd w:val="0"/>
              <w:snapToGrid w:val="0"/>
              <w:jc w:val="center"/>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序号</w:t>
            </w:r>
          </w:p>
        </w:tc>
        <w:tc>
          <w:tcPr>
            <w:tcW w:w="303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adjustRightInd w:val="0"/>
              <w:snapToGrid w:val="0"/>
              <w:jc w:val="center"/>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项目内容</w:t>
            </w:r>
          </w:p>
        </w:tc>
        <w:tc>
          <w:tcPr>
            <w:tcW w:w="90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adjustRightInd w:val="0"/>
              <w:snapToGrid w:val="0"/>
              <w:jc w:val="center"/>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数量</w:t>
            </w:r>
          </w:p>
        </w:tc>
        <w:tc>
          <w:tcPr>
            <w:tcW w:w="184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adjustRightInd w:val="0"/>
              <w:snapToGrid w:val="0"/>
              <w:jc w:val="center"/>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最高限价（元）</w:t>
            </w:r>
          </w:p>
        </w:tc>
        <w:tc>
          <w:tcPr>
            <w:tcW w:w="2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adjustRightInd w:val="0"/>
              <w:snapToGrid w:val="0"/>
              <w:jc w:val="center"/>
              <w:rPr>
                <w:rFonts w:hint="eastAsia" w:ascii="宋体" w:hAnsi="宋体" w:eastAsia="宋体" w:cs="宋体"/>
                <w:b/>
                <w:bCs/>
                <w:color w:val="auto"/>
                <w:kern w:val="0"/>
                <w:sz w:val="21"/>
                <w:szCs w:val="16"/>
                <w:highlight w:val="none"/>
              </w:rPr>
            </w:pPr>
            <w:r>
              <w:rPr>
                <w:rFonts w:hint="eastAsia" w:ascii="宋体" w:hAnsi="宋体" w:eastAsia="宋体" w:cs="宋体"/>
                <w:b/>
                <w:bCs/>
                <w:color w:val="auto"/>
                <w:kern w:val="0"/>
                <w:sz w:val="21"/>
                <w:szCs w:val="16"/>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88"/>
              </w:tabs>
              <w:jc w:val="center"/>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16"/>
                <w:highlight w:val="none"/>
                <w:lang w:eastAsia="zh-CN"/>
              </w:rPr>
            </w:pPr>
            <w:r>
              <w:rPr>
                <w:rFonts w:hint="eastAsia" w:ascii="宋体" w:hAnsi="宋体" w:eastAsia="宋体" w:cs="宋体"/>
                <w:color w:val="auto"/>
                <w:sz w:val="21"/>
                <w:szCs w:val="16"/>
                <w:highlight w:val="none"/>
                <w:lang w:eastAsia="zh-CN"/>
              </w:rPr>
              <w:t>2025-2026年鹭江村排水设施</w:t>
            </w:r>
            <w:bookmarkStart w:id="247" w:name="OLE_LINK2"/>
            <w:r>
              <w:rPr>
                <w:rFonts w:hint="eastAsia" w:ascii="宋体" w:hAnsi="宋体" w:eastAsia="宋体" w:cs="宋体"/>
                <w:color w:val="auto"/>
                <w:sz w:val="21"/>
                <w:szCs w:val="16"/>
                <w:highlight w:val="none"/>
                <w:lang w:eastAsia="zh-CN"/>
              </w:rPr>
              <w:t>清疏</w:t>
            </w:r>
            <w:bookmarkEnd w:id="247"/>
            <w:r>
              <w:rPr>
                <w:rFonts w:hint="eastAsia" w:ascii="宋体" w:hAnsi="宋体" w:eastAsia="宋体" w:cs="宋体"/>
                <w:color w:val="auto"/>
                <w:sz w:val="21"/>
                <w:szCs w:val="16"/>
                <w:highlight w:val="none"/>
                <w:lang w:eastAsia="zh-CN"/>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16"/>
                <w:highlight w:val="none"/>
              </w:rPr>
            </w:pPr>
            <w:r>
              <w:rPr>
                <w:rFonts w:hint="eastAsia" w:ascii="宋体" w:hAnsi="宋体" w:eastAsia="宋体" w:cs="宋体"/>
                <w:color w:val="auto"/>
                <w:kern w:val="0"/>
                <w:sz w:val="21"/>
                <w:szCs w:val="16"/>
                <w:highlight w:val="none"/>
              </w:rPr>
              <w:t>1项</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16"/>
                <w:highlight w:val="none"/>
                <w:lang w:val="en-US" w:eastAsia="zh-CN"/>
              </w:rPr>
            </w:pPr>
            <w:r>
              <w:rPr>
                <w:rFonts w:hint="eastAsia" w:ascii="宋体" w:hAnsi="宋体" w:eastAsia="宋体" w:cs="宋体"/>
                <w:color w:val="auto"/>
                <w:sz w:val="21"/>
                <w:szCs w:val="16"/>
                <w:highlight w:val="none"/>
                <w:lang w:val="en-US" w:eastAsia="zh-CN"/>
              </w:rPr>
              <w:t>529852.65元</w:t>
            </w:r>
          </w:p>
        </w:tc>
        <w:tc>
          <w:tcPr>
            <w:tcW w:w="2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1"/>
                <w:szCs w:val="16"/>
                <w:highlight w:val="none"/>
                <w:lang w:eastAsia="zh-CN"/>
              </w:rPr>
            </w:pPr>
            <w:r>
              <w:rPr>
                <w:rFonts w:hint="eastAsia" w:ascii="宋体" w:hAnsi="宋体" w:eastAsia="宋体" w:cs="宋体"/>
                <w:color w:val="auto"/>
                <w:kern w:val="0"/>
                <w:sz w:val="21"/>
                <w:szCs w:val="16"/>
                <w:highlight w:val="none"/>
                <w:lang w:eastAsia="zh-CN"/>
              </w:rPr>
              <w:t>自合同签订之日起1年。</w:t>
            </w:r>
          </w:p>
        </w:tc>
      </w:tr>
    </w:tbl>
    <w:p>
      <w:pPr>
        <w:pStyle w:val="2"/>
        <w:keepNext w:val="0"/>
        <w:keepLines w:val="0"/>
        <w:pageBreakBefore w:val="0"/>
        <w:widowControl/>
        <w:kinsoku/>
        <w:wordWrap/>
        <w:overflowPunct/>
        <w:topLinePunct w:val="0"/>
        <w:autoSpaceDE/>
        <w:autoSpaceDN/>
        <w:bidi w:val="0"/>
        <w:adjustRightInd/>
        <w:snapToGrid w:val="0"/>
        <w:spacing w:after="0" w:line="360" w:lineRule="auto"/>
        <w:ind w:firstLine="42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1"/>
          <w:szCs w:val="16"/>
          <w:highlight w:val="none"/>
          <w:lang w:val="en-US" w:eastAsia="zh-CN"/>
        </w:rPr>
        <w:t>本项目</w:t>
      </w:r>
      <w:r>
        <w:rPr>
          <w:rFonts w:hint="eastAsia" w:ascii="宋体" w:hAnsi="宋体" w:eastAsia="宋体" w:cs="宋体"/>
          <w:color w:val="auto"/>
          <w:sz w:val="21"/>
          <w:szCs w:val="16"/>
          <w:highlight w:val="none"/>
        </w:rPr>
        <w:t>确定1家成交人。采购人不承诺具体的项目量，</w:t>
      </w:r>
      <w:r>
        <w:rPr>
          <w:rFonts w:hint="eastAsia" w:ascii="宋体" w:hAnsi="宋体" w:eastAsia="宋体" w:cs="宋体"/>
          <w:color w:val="auto"/>
          <w:sz w:val="21"/>
          <w:szCs w:val="16"/>
          <w:highlight w:val="none"/>
          <w:lang w:val="en-US" w:eastAsia="zh-CN"/>
        </w:rPr>
        <w:t>成交人履行合同过程中不得对项目量提出异议，成交人</w:t>
      </w:r>
      <w:r>
        <w:rPr>
          <w:rFonts w:hint="eastAsia" w:ascii="宋体" w:hAnsi="宋体" w:eastAsia="宋体" w:cs="宋体"/>
          <w:color w:val="auto"/>
          <w:sz w:val="21"/>
          <w:szCs w:val="16"/>
          <w:highlight w:val="none"/>
        </w:rPr>
        <w:t>须自行考虑其中的风险。</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、服务内容</w:t>
      </w:r>
    </w:p>
    <w:p>
      <w:pPr>
        <w:pStyle w:val="2"/>
        <w:keepNext w:val="0"/>
        <w:keepLines w:val="0"/>
        <w:pageBreakBefore w:val="0"/>
        <w:widowControl/>
        <w:kinsoku/>
        <w:wordWrap/>
        <w:overflowPunct/>
        <w:topLinePunct w:val="0"/>
        <w:autoSpaceDE/>
        <w:autoSpaceDN/>
        <w:bidi w:val="0"/>
        <w:adjustRightInd/>
        <w:snapToGrid w:val="0"/>
        <w:spacing w:after="0" w:line="360" w:lineRule="auto"/>
        <w:ind w:firstLine="630" w:firstLineChars="300"/>
        <w:jc w:val="left"/>
        <w:textAlignment w:val="auto"/>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凤阳街鹭江村定员三人每天清疏沙井及排水管。</w:t>
      </w:r>
    </w:p>
    <w:p>
      <w:pPr>
        <w:pStyle w:val="2"/>
        <w:keepNext w:val="0"/>
        <w:keepLines w:val="0"/>
        <w:pageBreakBefore w:val="0"/>
        <w:widowControl/>
        <w:kinsoku/>
        <w:wordWrap/>
        <w:overflowPunct/>
        <w:topLinePunct w:val="0"/>
        <w:autoSpaceDE/>
        <w:autoSpaceDN/>
        <w:bidi w:val="0"/>
        <w:adjustRightInd/>
        <w:snapToGrid w:val="0"/>
        <w:spacing w:after="0" w:line="360" w:lineRule="auto"/>
        <w:ind w:firstLine="630" w:firstLineChars="300"/>
        <w:jc w:val="left"/>
        <w:textAlignment w:val="auto"/>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服务区域：</w:t>
      </w:r>
      <w:r>
        <w:rPr>
          <w:rFonts w:hint="eastAsia" w:ascii="宋体" w:hAnsi="宋体" w:eastAsia="宋体" w:cs="宋体"/>
          <w:color w:val="auto"/>
          <w:sz w:val="21"/>
          <w:szCs w:val="16"/>
          <w:highlight w:val="none"/>
          <w:lang w:val="en-US" w:eastAsia="zh-CN"/>
        </w:rPr>
        <w:t>广州市</w:t>
      </w:r>
      <w:r>
        <w:rPr>
          <w:rFonts w:hint="eastAsia" w:ascii="宋体" w:hAnsi="宋体" w:eastAsia="宋体" w:cs="宋体"/>
          <w:color w:val="auto"/>
          <w:sz w:val="21"/>
          <w:szCs w:val="16"/>
          <w:highlight w:val="none"/>
        </w:rPr>
        <w:t>鹭江村社辖区围内排水设施</w:t>
      </w:r>
      <w:r>
        <w:rPr>
          <w:rFonts w:hint="eastAsia" w:ascii="宋体" w:hAnsi="宋体" w:eastAsia="宋体" w:cs="宋体"/>
          <w:color w:val="auto"/>
          <w:sz w:val="21"/>
          <w:szCs w:val="16"/>
          <w:highlight w:val="none"/>
          <w:lang w:eastAsia="zh-CN"/>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三、总体要求</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 xml:space="preserve">1.服务要求 </w:t>
      </w:r>
    </w:p>
    <w:p>
      <w:pPr>
        <w:widowControl/>
        <w:spacing w:line="360" w:lineRule="auto"/>
        <w:ind w:firstLine="420" w:firstLineChars="200"/>
        <w:jc w:val="left"/>
        <w:rPr>
          <w:rFonts w:hint="eastAsia" w:ascii="宋体" w:hAnsi="宋体" w:eastAsia="宋体" w:cs="宋体"/>
          <w:color w:val="auto"/>
          <w:kern w:val="0"/>
          <w:position w:val="-2"/>
          <w:sz w:val="21"/>
          <w:szCs w:val="21"/>
          <w:highlight w:val="none"/>
          <w:lang w:bidi="ar"/>
        </w:rPr>
      </w:pPr>
      <w:r>
        <w:rPr>
          <w:rFonts w:hint="eastAsia" w:ascii="宋体" w:hAnsi="宋体" w:eastAsia="宋体" w:cs="宋体"/>
          <w:color w:val="auto"/>
          <w:kern w:val="0"/>
          <w:position w:val="-2"/>
          <w:sz w:val="21"/>
          <w:szCs w:val="21"/>
          <w:highlight w:val="none"/>
          <w:lang w:bidi="ar"/>
        </w:rPr>
        <w:t>(1)成交人能够根据相关法律法规，政府相关部门以及采购人下发的相关文件，安全、有效的进行清疏工作。</w:t>
      </w:r>
    </w:p>
    <w:p>
      <w:pPr>
        <w:widowControl/>
        <w:spacing w:line="360" w:lineRule="auto"/>
        <w:ind w:firstLine="420" w:firstLineChars="200"/>
        <w:jc w:val="left"/>
        <w:rPr>
          <w:rFonts w:hint="eastAsia" w:ascii="宋体" w:hAnsi="宋体" w:eastAsia="宋体" w:cs="宋体"/>
          <w:color w:val="auto"/>
          <w:kern w:val="0"/>
          <w:position w:val="-2"/>
          <w:sz w:val="21"/>
          <w:szCs w:val="21"/>
          <w:highlight w:val="none"/>
          <w:lang w:bidi="ar"/>
        </w:rPr>
      </w:pPr>
      <w:r>
        <w:rPr>
          <w:rFonts w:hint="eastAsia" w:ascii="宋体" w:hAnsi="宋体" w:eastAsia="宋体" w:cs="宋体"/>
          <w:color w:val="auto"/>
          <w:kern w:val="0"/>
          <w:position w:val="-2"/>
          <w:sz w:val="21"/>
          <w:szCs w:val="21"/>
          <w:highlight w:val="none"/>
          <w:lang w:bidi="ar"/>
        </w:rPr>
        <w:t>（2）成交人在按采购人的要求进行清疏工作，并在规定时间内完成清疏任务。</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 xml:space="preserve">（3）成交人必须设有固定办公场所（提供自有物业或承租物业的证明），常驻相应的机械和工作人员。 </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（4）成交人可以在行动前对工程现场和周围环境进行现场踏勘，因此发生的费用及其他不利情况由成交人自行负责。</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（5）成交人在</w:t>
      </w:r>
      <w:r>
        <w:rPr>
          <w:rFonts w:hint="eastAsia" w:ascii="宋体" w:hAnsi="宋体" w:eastAsia="宋体" w:cs="宋体"/>
          <w:color w:val="auto"/>
          <w:kern w:val="0"/>
          <w:position w:val="-2"/>
          <w:sz w:val="21"/>
          <w:szCs w:val="21"/>
          <w:highlight w:val="none"/>
          <w:lang w:val="en-US" w:eastAsia="zh-CN" w:bidi="ar"/>
        </w:rPr>
        <w:t>本项目</w:t>
      </w:r>
      <w:r>
        <w:rPr>
          <w:rFonts w:hint="eastAsia" w:ascii="宋体" w:hAnsi="宋体" w:eastAsia="宋体" w:cs="宋体"/>
          <w:color w:val="auto"/>
          <w:kern w:val="0"/>
          <w:position w:val="-2"/>
          <w:sz w:val="21"/>
          <w:szCs w:val="21"/>
          <w:highlight w:val="none"/>
          <w:lang w:bidi="ar"/>
        </w:rPr>
        <w:t>中必须有</w:t>
      </w:r>
      <w:r>
        <w:rPr>
          <w:rFonts w:hint="eastAsia" w:ascii="宋体" w:hAnsi="宋体" w:eastAsia="宋体" w:cs="宋体"/>
          <w:color w:val="auto"/>
          <w:kern w:val="0"/>
          <w:position w:val="-2"/>
          <w:sz w:val="21"/>
          <w:szCs w:val="21"/>
          <w:highlight w:val="none"/>
          <w:lang w:val="en-US" w:eastAsia="zh-CN" w:bidi="ar"/>
        </w:rPr>
        <w:t>安排</w:t>
      </w:r>
      <w:r>
        <w:rPr>
          <w:rFonts w:hint="eastAsia" w:ascii="宋体" w:hAnsi="宋体" w:eastAsia="宋体" w:cs="宋体"/>
          <w:color w:val="auto"/>
          <w:kern w:val="0"/>
          <w:position w:val="-2"/>
          <w:sz w:val="21"/>
          <w:szCs w:val="21"/>
          <w:highlight w:val="none"/>
          <w:lang w:bidi="ar"/>
        </w:rPr>
        <w:t xml:space="preserve">1名负责人。成交人所提供的清疏人员在清疏清疏过程中如因业务素质低而不能胜任工作的，采购人有权要求撤换。 </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 xml:space="preserve">（6）成交人在清疏过程中需统一穿着清疏现场标识（如头盔、反光背心等）。 </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w:t>
      </w:r>
      <w:r>
        <w:rPr>
          <w:rFonts w:hint="eastAsia" w:ascii="宋体" w:hAnsi="宋体" w:eastAsia="宋体" w:cs="宋体"/>
          <w:color w:val="auto"/>
          <w:kern w:val="0"/>
          <w:position w:val="-2"/>
          <w:sz w:val="21"/>
          <w:szCs w:val="21"/>
          <w:highlight w:val="none"/>
          <w:lang w:val="en-US" w:eastAsia="zh-CN" w:bidi="ar"/>
        </w:rPr>
        <w:t>7</w:t>
      </w:r>
      <w:r>
        <w:rPr>
          <w:rFonts w:hint="eastAsia" w:ascii="宋体" w:hAnsi="宋体" w:eastAsia="宋体" w:cs="宋体"/>
          <w:color w:val="auto"/>
          <w:kern w:val="0"/>
          <w:position w:val="-2"/>
          <w:sz w:val="21"/>
          <w:szCs w:val="21"/>
          <w:highlight w:val="none"/>
          <w:lang w:bidi="ar"/>
        </w:rPr>
        <w:t>）在项目过程中发生安全事故，由成交人承担安全责任，并负责对伤亡人员的医疗救护</w:t>
      </w:r>
      <w:r>
        <w:rPr>
          <w:rFonts w:hint="eastAsia" w:ascii="宋体" w:hAnsi="宋体" w:eastAsia="宋体" w:cs="宋体"/>
          <w:color w:val="auto"/>
          <w:kern w:val="0"/>
          <w:position w:val="-2"/>
          <w:sz w:val="21"/>
          <w:szCs w:val="21"/>
          <w:highlight w:val="none"/>
          <w:lang w:eastAsia="zh-CN" w:bidi="ar"/>
        </w:rPr>
        <w:t>、</w:t>
      </w:r>
      <w:r>
        <w:rPr>
          <w:rFonts w:hint="eastAsia" w:ascii="宋体" w:hAnsi="宋体" w:eastAsia="宋体" w:cs="宋体"/>
          <w:color w:val="auto"/>
          <w:kern w:val="0"/>
          <w:position w:val="-2"/>
          <w:sz w:val="21"/>
          <w:szCs w:val="21"/>
          <w:highlight w:val="none"/>
          <w:lang w:val="en-US" w:eastAsia="zh-CN" w:bidi="ar"/>
        </w:rPr>
        <w:t>赔偿等所有</w:t>
      </w:r>
      <w:r>
        <w:rPr>
          <w:rFonts w:hint="eastAsia" w:ascii="宋体" w:hAnsi="宋体" w:eastAsia="宋体" w:cs="宋体"/>
          <w:color w:val="auto"/>
          <w:kern w:val="0"/>
          <w:position w:val="-2"/>
          <w:sz w:val="21"/>
          <w:szCs w:val="21"/>
          <w:highlight w:val="none"/>
          <w:lang w:bidi="ar"/>
        </w:rPr>
        <w:t xml:space="preserve">费用。 </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w:t>
      </w:r>
      <w:r>
        <w:rPr>
          <w:rFonts w:hint="eastAsia" w:ascii="宋体" w:hAnsi="宋体" w:eastAsia="宋体" w:cs="宋体"/>
          <w:color w:val="auto"/>
          <w:kern w:val="0"/>
          <w:position w:val="-2"/>
          <w:sz w:val="21"/>
          <w:szCs w:val="21"/>
          <w:highlight w:val="none"/>
          <w:lang w:val="en-US" w:eastAsia="zh-CN" w:bidi="ar"/>
        </w:rPr>
        <w:t>8</w:t>
      </w:r>
      <w:r>
        <w:rPr>
          <w:rFonts w:hint="eastAsia" w:ascii="宋体" w:hAnsi="宋体" w:eastAsia="宋体" w:cs="宋体"/>
          <w:color w:val="auto"/>
          <w:kern w:val="0"/>
          <w:position w:val="-2"/>
          <w:sz w:val="21"/>
          <w:szCs w:val="21"/>
          <w:highlight w:val="none"/>
          <w:lang w:bidi="ar"/>
        </w:rPr>
        <w:t>）成交人在</w:t>
      </w:r>
      <w:r>
        <w:rPr>
          <w:rFonts w:hint="eastAsia" w:ascii="宋体" w:hAnsi="宋体" w:eastAsia="宋体" w:cs="宋体"/>
          <w:color w:val="auto"/>
          <w:position w:val="-2"/>
          <w:sz w:val="21"/>
          <w:szCs w:val="21"/>
          <w:highlight w:val="none"/>
          <w:lang w:eastAsia="zh-CN" w:bidi="ar"/>
        </w:rPr>
        <w:t>清疏</w:t>
      </w:r>
      <w:r>
        <w:rPr>
          <w:rFonts w:hint="eastAsia" w:ascii="宋体" w:hAnsi="宋体" w:eastAsia="宋体" w:cs="宋体"/>
          <w:color w:val="auto"/>
          <w:kern w:val="0"/>
          <w:position w:val="-2"/>
          <w:sz w:val="21"/>
          <w:szCs w:val="21"/>
          <w:highlight w:val="none"/>
          <w:lang w:bidi="ar"/>
        </w:rPr>
        <w:t xml:space="preserve">工作须确保安全，过程中出现的安全事故一律由成交人负责。 </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w:t>
      </w:r>
      <w:r>
        <w:rPr>
          <w:rFonts w:hint="eastAsia" w:ascii="宋体" w:hAnsi="宋体" w:eastAsia="宋体" w:cs="宋体"/>
          <w:color w:val="auto"/>
          <w:kern w:val="0"/>
          <w:position w:val="-2"/>
          <w:sz w:val="21"/>
          <w:szCs w:val="21"/>
          <w:highlight w:val="none"/>
          <w:lang w:val="en-US" w:eastAsia="zh-CN" w:bidi="ar"/>
        </w:rPr>
        <w:t>9</w:t>
      </w:r>
      <w:r>
        <w:rPr>
          <w:rFonts w:hint="eastAsia" w:ascii="宋体" w:hAnsi="宋体" w:eastAsia="宋体" w:cs="宋体"/>
          <w:color w:val="auto"/>
          <w:kern w:val="0"/>
          <w:position w:val="-2"/>
          <w:sz w:val="21"/>
          <w:szCs w:val="21"/>
          <w:highlight w:val="none"/>
          <w:lang w:bidi="ar"/>
        </w:rPr>
        <w:t>）成交人应建立完善的作业班组，制定岗位职责以及各岗位规范、操作规程、管理制度（包括节假日值班制度、防汛防台期间的值班制度和应急工作制度）。采购人与成交人派驻服务人员不发生任何劳动和雇佣关系，派驻服务人员由成交人自行管理，并按法律法规和地方政府的规定支付服务人员的工资、福利、保险、奖金、加班费等一切费用。成交人应重视劳动关系，建立完善的管理措施及风险预案，避免项目实施过程中发生劳资纠纷，成交人须承担由此产生的经济及法律责任。</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bidi="ar"/>
        </w:rPr>
        <w:t>2.服务人员、机械设备要求</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position w:val="-2"/>
          <w:sz w:val="21"/>
          <w:szCs w:val="21"/>
          <w:highlight w:val="none"/>
          <w:lang w:eastAsia="zh-CN" w:bidi="ar"/>
        </w:rPr>
        <w:t>（</w:t>
      </w:r>
      <w:r>
        <w:rPr>
          <w:rFonts w:hint="eastAsia" w:ascii="宋体" w:hAnsi="宋体" w:eastAsia="宋体" w:cs="宋体"/>
          <w:color w:val="auto"/>
          <w:kern w:val="0"/>
          <w:position w:val="-2"/>
          <w:sz w:val="21"/>
          <w:szCs w:val="21"/>
          <w:highlight w:val="none"/>
          <w:lang w:val="en-US" w:eastAsia="zh-CN" w:bidi="ar"/>
        </w:rPr>
        <w:t>1</w:t>
      </w:r>
      <w:r>
        <w:rPr>
          <w:rFonts w:hint="eastAsia" w:ascii="宋体" w:hAnsi="宋体" w:eastAsia="宋体" w:cs="宋体"/>
          <w:color w:val="auto"/>
          <w:kern w:val="0"/>
          <w:position w:val="-2"/>
          <w:sz w:val="21"/>
          <w:szCs w:val="21"/>
          <w:highlight w:val="none"/>
          <w:lang w:eastAsia="zh-CN" w:bidi="ar"/>
        </w:rPr>
        <w:t>）</w:t>
      </w:r>
      <w:r>
        <w:rPr>
          <w:rFonts w:hint="eastAsia" w:ascii="宋体" w:hAnsi="宋体" w:eastAsia="宋体" w:cs="宋体"/>
          <w:color w:val="auto"/>
          <w:kern w:val="0"/>
          <w:position w:val="-2"/>
          <w:sz w:val="21"/>
          <w:szCs w:val="21"/>
          <w:highlight w:val="none"/>
          <w:lang w:bidi="ar"/>
        </w:rPr>
        <w:t>成交人须配备相应的服务人员、机械设备以满足项目的需求及应急服务响应，拟投入的服务人员必须专人专职、类别齐全，拟投入的机械设备可租赁但必须确保性能。</w:t>
      </w:r>
    </w:p>
    <w:p>
      <w:pPr>
        <w:widowControl/>
        <w:spacing w:line="360" w:lineRule="auto"/>
        <w:ind w:firstLine="420" w:firstLineChars="200"/>
        <w:jc w:val="left"/>
        <w:rPr>
          <w:rFonts w:hint="eastAsia" w:ascii="宋体" w:hAnsi="宋体" w:cs="宋体"/>
          <w:b/>
          <w:bCs/>
          <w:color w:val="auto"/>
          <w:sz w:val="24"/>
          <w:highlight w:val="none"/>
        </w:rPr>
      </w:pPr>
      <w:r>
        <w:rPr>
          <w:rFonts w:hint="eastAsia" w:ascii="宋体" w:hAnsi="宋体" w:eastAsia="宋体" w:cs="宋体"/>
          <w:color w:val="auto"/>
          <w:kern w:val="0"/>
          <w:position w:val="-2"/>
          <w:sz w:val="21"/>
          <w:szCs w:val="21"/>
          <w:highlight w:val="none"/>
          <w:lang w:bidi="ar"/>
        </w:rPr>
        <w:t>（</w:t>
      </w:r>
      <w:r>
        <w:rPr>
          <w:rFonts w:hint="eastAsia" w:ascii="宋体" w:hAnsi="宋体" w:eastAsia="宋体" w:cs="宋体"/>
          <w:color w:val="auto"/>
          <w:kern w:val="0"/>
          <w:position w:val="-2"/>
          <w:sz w:val="21"/>
          <w:szCs w:val="21"/>
          <w:highlight w:val="none"/>
          <w:lang w:val="en-US" w:eastAsia="zh-CN" w:bidi="ar"/>
        </w:rPr>
        <w:t>2</w:t>
      </w:r>
      <w:r>
        <w:rPr>
          <w:rFonts w:hint="eastAsia" w:ascii="宋体" w:hAnsi="宋体" w:eastAsia="宋体" w:cs="宋体"/>
          <w:color w:val="auto"/>
          <w:kern w:val="0"/>
          <w:position w:val="-2"/>
          <w:sz w:val="21"/>
          <w:szCs w:val="21"/>
          <w:highlight w:val="none"/>
          <w:lang w:bidi="ar"/>
        </w:rPr>
        <w:t>）成交人所提供的服务人员在服务过程中如因业务素质低而不能胜任工作的，采购人有权要求撤换。在收到采购人撤回通知的7天内，成交人应按要求更换相应岗位的服务人员，更换人员的资质不得低于原人员要求。</w:t>
      </w:r>
    </w:p>
    <w:p>
      <w:pPr>
        <w:pStyle w:val="2"/>
        <w:spacing w:after="0" w:line="360" w:lineRule="auto"/>
        <w:rPr>
          <w:rFonts w:hint="eastAsia" w:ascii="宋体" w:hAnsi="宋体" w:cs="宋体"/>
          <w:color w:val="auto"/>
          <w:sz w:val="24"/>
          <w:highlight w:val="none"/>
          <w:u w:val="single"/>
        </w:rPr>
      </w:pPr>
    </w:p>
    <w:p>
      <w:pPr>
        <w:keepNext w:val="0"/>
        <w:keepLines w:val="0"/>
        <w:pageBreakBefore/>
        <w:widowControl w:val="0"/>
        <w:kinsoku/>
        <w:wordWrap/>
        <w:overflowPunct/>
        <w:topLinePunct w:val="0"/>
        <w:autoSpaceDE/>
        <w:autoSpaceDN/>
        <w:bidi w:val="0"/>
        <w:adjustRightInd/>
        <w:snapToGrid/>
        <w:spacing w:before="94"/>
        <w:ind w:left="300" w:right="295"/>
        <w:jc w:val="left"/>
        <w:textAlignment w:val="auto"/>
        <w:rPr>
          <w:rFonts w:hint="eastAsia"/>
          <w:color w:val="auto"/>
          <w:highlight w:val="none"/>
        </w:rPr>
      </w:pPr>
      <w:r>
        <w:rPr>
          <w:rFonts w:hint="eastAsia" w:ascii="宋体" w:hAnsi="宋体" w:cs="宋体"/>
          <w:b/>
          <w:bCs/>
          <w:color w:val="auto"/>
          <w:sz w:val="24"/>
          <w:highlight w:val="none"/>
        </w:rPr>
        <w:t>附件：综合单价表</w:t>
      </w:r>
    </w:p>
    <w:tbl>
      <w:tblPr>
        <w:tblStyle w:val="48"/>
        <w:tblpPr w:leftFromText="180" w:rightFromText="180" w:vertAnchor="text" w:horzAnchor="page" w:tblpX="992" w:tblpY="370"/>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2835"/>
        <w:gridCol w:w="1110"/>
        <w:gridCol w:w="1200"/>
        <w:gridCol w:w="1215"/>
        <w:gridCol w:w="17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  目  名  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合价（元）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排水设施清疏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人工（每天不少于3个人，共365天）</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淤泥外运排放（每两天外运1车，共365天）</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182.5</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    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文明施工措施费（3%）</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税金（9%）</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合计（3+4+5）</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bl>
    <w:p>
      <w:pPr>
        <w:spacing w:line="360" w:lineRule="auto"/>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br w:type="page"/>
      </w:r>
    </w:p>
    <w:p>
      <w:pPr>
        <w:pStyle w:val="6"/>
        <w:numPr>
          <w:ilvl w:val="0"/>
          <w:numId w:val="6"/>
        </w:numPr>
        <w:spacing w:before="240" w:beforeLines="100" w:after="120"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评审办法及程序</w:t>
      </w:r>
      <w:bookmarkEnd w:id="230"/>
      <w:bookmarkEnd w:id="231"/>
      <w:bookmarkEnd w:id="232"/>
    </w:p>
    <w:p>
      <w:pPr>
        <w:widowControl w:val="0"/>
        <w:numPr>
          <w:ilvl w:val="0"/>
          <w:numId w:val="8"/>
        </w:numPr>
        <w:spacing w:line="360" w:lineRule="auto"/>
        <w:ind w:left="567" w:hanging="27"/>
        <w:outlineLvl w:val="1"/>
        <w:rPr>
          <w:rFonts w:ascii="宋体" w:hAnsi="宋体"/>
          <w:b/>
          <w:bCs/>
          <w:color w:val="auto"/>
          <w:szCs w:val="21"/>
          <w:highlight w:val="none"/>
        </w:rPr>
      </w:pPr>
      <w:bookmarkStart w:id="248" w:name="_Toc20189"/>
      <w:bookmarkStart w:id="249" w:name="_Toc18200"/>
      <w:bookmarkStart w:id="250" w:name="_Toc504694775"/>
      <w:bookmarkStart w:id="251" w:name="_Toc479157975"/>
      <w:bookmarkStart w:id="252" w:name="_Toc504688284"/>
      <w:bookmarkStart w:id="253" w:name="_Toc479157858"/>
      <w:bookmarkStart w:id="254" w:name="_Toc504694663"/>
      <w:bookmarkStart w:id="255" w:name="_Toc509392323"/>
      <w:bookmarkStart w:id="256" w:name="_Toc2074421"/>
      <w:bookmarkStart w:id="257" w:name="_Toc31707"/>
      <w:bookmarkStart w:id="258" w:name="_Toc42394669"/>
      <w:bookmarkStart w:id="259" w:name="_Toc50276153"/>
      <w:bookmarkStart w:id="260" w:name="_Toc98579007"/>
      <w:bookmarkStart w:id="261" w:name="_Toc98580289"/>
      <w:bookmarkStart w:id="262" w:name="_Toc42394513"/>
      <w:bookmarkStart w:id="263" w:name="_Toc98579606"/>
      <w:bookmarkStart w:id="264" w:name="_Toc98579065"/>
      <w:bookmarkStart w:id="265" w:name="_Toc41723931"/>
      <w:bookmarkStart w:id="266" w:name="_Toc42313167"/>
      <w:bookmarkStart w:id="267" w:name="_Toc41884701"/>
      <w:r>
        <w:rPr>
          <w:rFonts w:hint="eastAsia" w:ascii="宋体" w:hAnsi="宋体"/>
          <w:b/>
          <w:bCs/>
          <w:color w:val="auto"/>
          <w:szCs w:val="21"/>
          <w:highlight w:val="none"/>
        </w:rPr>
        <w:t>评审办法</w:t>
      </w:r>
      <w:bookmarkEnd w:id="248"/>
      <w:bookmarkEnd w:id="249"/>
      <w:bookmarkEnd w:id="250"/>
      <w:bookmarkEnd w:id="251"/>
      <w:bookmarkEnd w:id="252"/>
      <w:bookmarkEnd w:id="253"/>
      <w:bookmarkEnd w:id="254"/>
      <w:bookmarkEnd w:id="255"/>
      <w:bookmarkEnd w:id="256"/>
      <w:bookmarkEnd w:id="257"/>
    </w:p>
    <w:p>
      <w:pPr>
        <w:numPr>
          <w:ilvl w:val="1"/>
          <w:numId w:val="9"/>
        </w:numPr>
        <w:spacing w:line="360" w:lineRule="auto"/>
        <w:ind w:left="0" w:firstLine="425"/>
        <w:rPr>
          <w:rFonts w:ascii="宋体" w:hAnsi="宋体" w:cs="Arial"/>
          <w:color w:val="auto"/>
          <w:szCs w:val="21"/>
          <w:highlight w:val="none"/>
        </w:rPr>
      </w:pPr>
      <w:r>
        <w:rPr>
          <w:rFonts w:hint="eastAsia" w:ascii="宋体" w:hAnsi="宋体" w:cs="Arial"/>
          <w:color w:val="auto"/>
          <w:szCs w:val="21"/>
          <w:highlight w:val="none"/>
        </w:rPr>
        <w:t>评审方法采用综合评分法。</w:t>
      </w:r>
    </w:p>
    <w:p>
      <w:pPr>
        <w:numPr>
          <w:ilvl w:val="1"/>
          <w:numId w:val="9"/>
        </w:numPr>
        <w:spacing w:line="360" w:lineRule="auto"/>
        <w:ind w:left="0" w:firstLine="425"/>
        <w:rPr>
          <w:rFonts w:ascii="宋体" w:hAnsi="宋体" w:cs="Arial"/>
          <w:color w:val="auto"/>
          <w:szCs w:val="21"/>
          <w:highlight w:val="none"/>
        </w:rPr>
      </w:pPr>
      <w:r>
        <w:rPr>
          <w:rFonts w:hint="eastAsia" w:ascii="宋体" w:hAnsi="宋体" w:cs="Arial"/>
          <w:color w:val="auto"/>
          <w:szCs w:val="21"/>
          <w:highlight w:val="none"/>
        </w:rPr>
        <w:t>通过初步审查的有效供应商方有资格提交最终报价及进入综合评审。</w:t>
      </w:r>
    </w:p>
    <w:p>
      <w:pPr>
        <w:spacing w:line="360" w:lineRule="auto"/>
        <w:ind w:left="425"/>
        <w:rPr>
          <w:rFonts w:ascii="宋体" w:hAnsi="宋体" w:cs="Arial"/>
          <w:color w:val="auto"/>
          <w:szCs w:val="21"/>
          <w:highlight w:val="none"/>
        </w:rPr>
      </w:pPr>
    </w:p>
    <w:p>
      <w:pPr>
        <w:widowControl w:val="0"/>
        <w:numPr>
          <w:ilvl w:val="0"/>
          <w:numId w:val="8"/>
        </w:numPr>
        <w:spacing w:line="360" w:lineRule="auto"/>
        <w:ind w:left="567" w:hanging="27"/>
        <w:outlineLvl w:val="1"/>
        <w:rPr>
          <w:rFonts w:ascii="宋体" w:hAnsi="宋体"/>
          <w:b/>
          <w:color w:val="auto"/>
          <w:szCs w:val="21"/>
          <w:highlight w:val="none"/>
        </w:rPr>
      </w:pPr>
      <w:bookmarkStart w:id="268" w:name="_Toc479157859"/>
      <w:bookmarkStart w:id="269" w:name="_Toc18268"/>
      <w:bookmarkStart w:id="270" w:name="_Toc509392324"/>
      <w:bookmarkStart w:id="271" w:name="_Toc2074422"/>
      <w:bookmarkStart w:id="272" w:name="_Toc504694776"/>
      <w:bookmarkStart w:id="273" w:name="_Toc504688285"/>
      <w:bookmarkStart w:id="274" w:name="_Toc479157976"/>
      <w:bookmarkStart w:id="275" w:name="_Toc504694664"/>
      <w:bookmarkStart w:id="276" w:name="_Toc5605"/>
      <w:bookmarkStart w:id="277" w:name="_Toc1577"/>
      <w:r>
        <w:rPr>
          <w:rFonts w:hint="eastAsia" w:ascii="宋体" w:hAnsi="宋体"/>
          <w:b/>
          <w:color w:val="auto"/>
          <w:szCs w:val="21"/>
          <w:highlight w:val="none"/>
        </w:rPr>
        <w:t>磋商小组</w:t>
      </w:r>
      <w:bookmarkEnd w:id="268"/>
      <w:bookmarkEnd w:id="269"/>
      <w:bookmarkEnd w:id="270"/>
      <w:bookmarkEnd w:id="271"/>
      <w:bookmarkEnd w:id="272"/>
      <w:bookmarkEnd w:id="273"/>
      <w:bookmarkEnd w:id="274"/>
      <w:bookmarkEnd w:id="275"/>
      <w:bookmarkEnd w:id="276"/>
      <w:bookmarkEnd w:id="277"/>
    </w:p>
    <w:p>
      <w:pPr>
        <w:numPr>
          <w:ilvl w:val="1"/>
          <w:numId w:val="10"/>
        </w:numPr>
        <w:spacing w:line="360" w:lineRule="auto"/>
        <w:ind w:left="0" w:firstLine="425"/>
        <w:rPr>
          <w:rFonts w:ascii="宋体" w:hAnsi="宋体" w:cs="Arial"/>
          <w:b/>
          <w:bCs/>
          <w:color w:val="auto"/>
          <w:szCs w:val="21"/>
          <w:highlight w:val="none"/>
        </w:rPr>
      </w:pPr>
      <w:r>
        <w:rPr>
          <w:rFonts w:hint="eastAsia" w:ascii="宋体" w:hAnsi="宋体" w:cs="Arial"/>
          <w:b/>
          <w:bCs/>
          <w:color w:val="auto"/>
          <w:szCs w:val="21"/>
          <w:highlight w:val="none"/>
        </w:rPr>
        <w:t>组成</w:t>
      </w:r>
    </w:p>
    <w:p>
      <w:pPr>
        <w:pStyle w:val="23"/>
        <w:spacing w:line="360" w:lineRule="auto"/>
        <w:ind w:left="0" w:leftChars="0" w:firstLine="420" w:firstLineChars="200"/>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rPr>
        <w:tab/>
      </w:r>
      <w:r>
        <w:rPr>
          <w:rFonts w:hint="eastAsia" w:ascii="宋体" w:hAnsi="宋体"/>
          <w:color w:val="auto"/>
          <w:szCs w:val="21"/>
          <w:highlight w:val="none"/>
        </w:rPr>
        <w:t>采购代理机构按规定组建磋商小组。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rPr>
        <w:tab/>
      </w:r>
      <w:r>
        <w:rPr>
          <w:rFonts w:hint="eastAsia" w:ascii="宋体" w:hAnsi="宋体"/>
          <w:color w:val="auto"/>
          <w:szCs w:val="21"/>
          <w:highlight w:val="none"/>
        </w:rPr>
        <w:t>磋商小组将本着公平、公正、择优的原则，严格按照法律法规和采购文件要求进行评审。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3.竞争性磋商响应文件拆封在采购文件规定的竞争性磋商时间进行，拆封地点为采购文件中预先确定的地点。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4.供应商法定代表人或授权代表必须持本人身份证参加竞争性磋商会。法定代表人或其授权代表不到磋商现场的，视为主动放弃报价及磋商资格，递交的竞争性磋商响应文件视为无效竞争性磋商响应文件。</w:t>
      </w:r>
    </w:p>
    <w:p>
      <w:pPr>
        <w:numPr>
          <w:ilvl w:val="1"/>
          <w:numId w:val="10"/>
        </w:numPr>
        <w:spacing w:line="360" w:lineRule="auto"/>
        <w:ind w:left="0" w:firstLine="425"/>
        <w:rPr>
          <w:rFonts w:ascii="宋体" w:hAnsi="宋体" w:cs="Arial"/>
          <w:b/>
          <w:bCs/>
          <w:color w:val="auto"/>
          <w:szCs w:val="21"/>
          <w:highlight w:val="none"/>
        </w:rPr>
      </w:pPr>
      <w:r>
        <w:rPr>
          <w:rFonts w:hint="eastAsia" w:ascii="宋体" w:hAnsi="宋体" w:cs="Arial"/>
          <w:b/>
          <w:bCs/>
          <w:color w:val="auto"/>
          <w:szCs w:val="21"/>
          <w:highlight w:val="none"/>
        </w:rPr>
        <w:t>职责</w:t>
      </w:r>
    </w:p>
    <w:p>
      <w:pPr>
        <w:pStyle w:val="23"/>
        <w:spacing w:line="360" w:lineRule="auto"/>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1.磋商小组负责磋商和评审工作，对评审中的重大问题通过投票决定。任何人不得干预磋商小组的工作。磋商小组下设评审工作小组，主要由代理机构等相关单位工作人员组成，负责整理、记录等工作。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2.对采购文件中描述有歧义或前后不一致的地方，磋商小组有权按法律法规的规定进行评判，但对同一条款的评判应适用于每个供应商。</w:t>
      </w:r>
    </w:p>
    <w:bookmarkEnd w:id="258"/>
    <w:bookmarkEnd w:id="259"/>
    <w:bookmarkEnd w:id="260"/>
    <w:bookmarkEnd w:id="261"/>
    <w:bookmarkEnd w:id="262"/>
    <w:bookmarkEnd w:id="263"/>
    <w:bookmarkEnd w:id="264"/>
    <w:p>
      <w:pPr>
        <w:widowControl w:val="0"/>
        <w:numPr>
          <w:ilvl w:val="0"/>
          <w:numId w:val="8"/>
        </w:numPr>
        <w:spacing w:line="360" w:lineRule="auto"/>
        <w:ind w:left="567" w:hanging="27"/>
        <w:outlineLvl w:val="1"/>
        <w:rPr>
          <w:rFonts w:hint="eastAsia" w:ascii="宋体" w:hAnsi="宋体"/>
          <w:b/>
          <w:color w:val="auto"/>
          <w:szCs w:val="21"/>
          <w:highlight w:val="none"/>
        </w:rPr>
      </w:pPr>
      <w:bookmarkStart w:id="278" w:name="_Toc479157860"/>
      <w:bookmarkStart w:id="279" w:name="_Toc504694777"/>
      <w:bookmarkStart w:id="280" w:name="_Toc101771376"/>
      <w:bookmarkStart w:id="281" w:name="_Toc12067"/>
      <w:bookmarkStart w:id="282" w:name="_Toc101843129"/>
      <w:bookmarkStart w:id="283" w:name="_Toc101775129"/>
      <w:bookmarkStart w:id="284" w:name="_Toc13837"/>
      <w:bookmarkStart w:id="285" w:name="_Toc479157977"/>
      <w:bookmarkStart w:id="286" w:name="_Toc504694665"/>
      <w:bookmarkStart w:id="287" w:name="_Toc504688286"/>
      <w:bookmarkStart w:id="288" w:name="_Toc101951267"/>
      <w:bookmarkStart w:id="289" w:name="_Toc2074423"/>
      <w:bookmarkStart w:id="290" w:name="_Toc509392325"/>
      <w:bookmarkStart w:id="291" w:name="_Toc30501"/>
      <w:r>
        <w:rPr>
          <w:rFonts w:hint="eastAsia" w:ascii="宋体" w:hAnsi="宋体"/>
          <w:b/>
          <w:color w:val="auto"/>
          <w:szCs w:val="21"/>
          <w:highlight w:val="none"/>
        </w:rPr>
        <w:t>评审程序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初步审查</w:t>
      </w:r>
    </w:p>
    <w:p>
      <w:pPr>
        <w:numPr>
          <w:ilvl w:val="0"/>
          <w:numId w:val="12"/>
        </w:numPr>
        <w:tabs>
          <w:tab w:val="left" w:pos="0"/>
          <w:tab w:val="left" w:pos="720"/>
          <w:tab w:val="left" w:pos="1080"/>
          <w:tab w:val="clear" w:pos="840"/>
        </w:tabs>
        <w:spacing w:line="360" w:lineRule="auto"/>
        <w:ind w:left="0" w:firstLine="420"/>
        <w:jc w:val="both"/>
        <w:rPr>
          <w:rFonts w:ascii="宋体" w:hAnsi="宋体"/>
          <w:color w:val="auto"/>
          <w:szCs w:val="21"/>
          <w:highlight w:val="none"/>
        </w:rPr>
      </w:pPr>
      <w:bookmarkStart w:id="292" w:name="OLE_LINK7"/>
      <w:r>
        <w:rPr>
          <w:rFonts w:hint="eastAsia" w:ascii="宋体" w:hAnsi="宋体"/>
          <w:color w:val="auto"/>
          <w:szCs w:val="21"/>
          <w:highlight w:val="none"/>
        </w:rPr>
        <w:t>磋商小组根据初步评审表的内容逐条对响应文件进行评审，审查每份响应文件的相关资格证明文件是否齐全有效。审查每份响应文件是否实质上响应了采购文件的要求，只要不满足初步评审表所列各项要求之一的，将被认定为无效响应。对响应有效性认定意见不一致的，磋商小组按简单多数原则表决决定。</w:t>
      </w:r>
    </w:p>
    <w:p>
      <w:pPr>
        <w:numPr>
          <w:ilvl w:val="0"/>
          <w:numId w:val="12"/>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磋商小组对各供应商进行资格性和符合性审查过程中，对初步被认定为初审不合格或无效响应者应实行及时告知，由磋商小组将集体意见现场及时告知该供应商，以让其核证、澄清事实。</w:t>
      </w:r>
    </w:p>
    <w:p>
      <w:pPr>
        <w:numPr>
          <w:ilvl w:val="0"/>
          <w:numId w:val="12"/>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0"/>
          <w:tab w:val="left" w:pos="720"/>
          <w:tab w:val="left" w:pos="1080"/>
        </w:tabs>
        <w:spacing w:line="360" w:lineRule="auto"/>
        <w:ind w:left="420"/>
        <w:jc w:val="center"/>
        <w:rPr>
          <w:rFonts w:ascii="宋体" w:hAnsi="宋体"/>
          <w:b/>
          <w:color w:val="auto"/>
          <w:szCs w:val="21"/>
          <w:highlight w:val="none"/>
        </w:rPr>
      </w:pPr>
      <w:r>
        <w:rPr>
          <w:rFonts w:hint="eastAsia" w:ascii="宋体" w:hAnsi="宋体"/>
          <w:b/>
          <w:color w:val="auto"/>
          <w:szCs w:val="21"/>
          <w:highlight w:val="none"/>
        </w:rPr>
        <w:t>《初步评审表》</w:t>
      </w:r>
    </w:p>
    <w:tbl>
      <w:tblPr>
        <w:tblStyle w:val="48"/>
        <w:tblW w:w="9365" w:type="dxa"/>
        <w:tblInd w:w="103" w:type="dxa"/>
        <w:tblLayout w:type="fixed"/>
        <w:tblCellMar>
          <w:top w:w="0" w:type="dxa"/>
          <w:left w:w="108" w:type="dxa"/>
          <w:bottom w:w="0" w:type="dxa"/>
          <w:right w:w="108" w:type="dxa"/>
        </w:tblCellMar>
      </w:tblPr>
      <w:tblGrid>
        <w:gridCol w:w="622"/>
        <w:gridCol w:w="5195"/>
        <w:gridCol w:w="1028"/>
        <w:gridCol w:w="1260"/>
        <w:gridCol w:w="1260"/>
      </w:tblGrid>
      <w:tr>
        <w:tblPrEx>
          <w:tblCellMar>
            <w:top w:w="0" w:type="dxa"/>
            <w:left w:w="108" w:type="dxa"/>
            <w:bottom w:w="0" w:type="dxa"/>
            <w:right w:w="108" w:type="dxa"/>
          </w:tblCellMar>
        </w:tblPrEx>
        <w:trPr>
          <w:trHeight w:val="600" w:hRule="atLeast"/>
        </w:trPr>
        <w:tc>
          <w:tcPr>
            <w:tcW w:w="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序号</w:t>
            </w:r>
          </w:p>
        </w:tc>
        <w:tc>
          <w:tcPr>
            <w:tcW w:w="51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审查项目要求</w:t>
            </w:r>
          </w:p>
        </w:tc>
        <w:tc>
          <w:tcPr>
            <w:tcW w:w="102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供应商1</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供应商2</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w:t>
            </w:r>
          </w:p>
        </w:tc>
      </w:tr>
      <w:tr>
        <w:tblPrEx>
          <w:tblCellMar>
            <w:top w:w="0" w:type="dxa"/>
            <w:left w:w="108" w:type="dxa"/>
            <w:bottom w:w="0" w:type="dxa"/>
            <w:right w:w="108" w:type="dxa"/>
          </w:tblCellMar>
        </w:tblPrEx>
        <w:trPr>
          <w:trHeight w:val="611" w:hRule="atLeast"/>
        </w:trPr>
        <w:tc>
          <w:tcPr>
            <w:tcW w:w="622"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5195" w:type="dxa"/>
            <w:tcBorders>
              <w:top w:val="nil"/>
              <w:left w:val="nil"/>
              <w:bottom w:val="single" w:color="auto" w:sz="4" w:space="0"/>
              <w:right w:val="single" w:color="auto" w:sz="4" w:space="0"/>
            </w:tcBorders>
            <w:noWrap w:val="0"/>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供应商符合供应商邀请函“六、</w:t>
            </w:r>
            <w:r>
              <w:rPr>
                <w:rFonts w:hint="eastAsia" w:ascii="宋体" w:hAnsi="宋体"/>
                <w:color w:val="auto"/>
                <w:szCs w:val="21"/>
                <w:highlight w:val="none"/>
              </w:rPr>
              <w:tab/>
            </w:r>
            <w:r>
              <w:rPr>
                <w:rFonts w:hint="eastAsia" w:ascii="宋体" w:hAnsi="宋体"/>
                <w:color w:val="auto"/>
                <w:szCs w:val="21"/>
                <w:highlight w:val="none"/>
              </w:rPr>
              <w:t>供应商资格要求”；</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494" w:hRule="atLeast"/>
        </w:trPr>
        <w:tc>
          <w:tcPr>
            <w:tcW w:w="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5195"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供应商是否按磋商文件要求提交磋商保证金的（如有）；</w:t>
            </w:r>
          </w:p>
        </w:tc>
        <w:tc>
          <w:tcPr>
            <w:tcW w:w="102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573" w:hRule="atLeast"/>
        </w:trPr>
        <w:tc>
          <w:tcPr>
            <w:tcW w:w="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5195" w:type="dxa"/>
            <w:tcBorders>
              <w:top w:val="single" w:color="auto" w:sz="4" w:space="0"/>
              <w:left w:val="nil"/>
              <w:bottom w:val="single" w:color="auto" w:sz="4" w:space="0"/>
              <w:right w:val="single" w:color="auto" w:sz="4" w:space="0"/>
            </w:tcBorders>
            <w:noWrap w:val="0"/>
            <w:vAlign w:val="top"/>
          </w:tcPr>
          <w:p>
            <w:pPr>
              <w:pStyle w:val="143"/>
              <w:spacing w:before="28"/>
              <w:ind w:left="94"/>
              <w:rPr>
                <w:rFonts w:ascii="宋体" w:hAnsi="宋体"/>
                <w:color w:val="auto"/>
                <w:szCs w:val="21"/>
                <w:highlight w:val="none"/>
              </w:rPr>
            </w:pPr>
            <w:r>
              <w:rPr>
                <w:color w:val="auto"/>
                <w:sz w:val="21"/>
                <w:szCs w:val="21"/>
                <w:highlight w:val="none"/>
              </w:rPr>
              <w:t>报价为固定唯一价且未超过磋商文件中规定的预算金额或最高限价</w:t>
            </w:r>
            <w:r>
              <w:rPr>
                <w:rFonts w:hint="eastAsia" w:ascii="宋体" w:hAnsi="宋体"/>
                <w:color w:val="auto"/>
                <w:szCs w:val="21"/>
                <w:highlight w:val="none"/>
              </w:rPr>
              <w:t>；</w:t>
            </w:r>
          </w:p>
        </w:tc>
        <w:tc>
          <w:tcPr>
            <w:tcW w:w="102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560" w:hRule="atLeast"/>
        </w:trPr>
        <w:tc>
          <w:tcPr>
            <w:tcW w:w="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5195" w:type="dxa"/>
            <w:tcBorders>
              <w:top w:val="nil"/>
              <w:left w:val="nil"/>
              <w:bottom w:val="single" w:color="auto" w:sz="4" w:space="0"/>
              <w:right w:val="single" w:color="auto" w:sz="4" w:space="0"/>
            </w:tcBorders>
            <w:noWrap w:val="0"/>
            <w:vAlign w:val="top"/>
          </w:tcPr>
          <w:p>
            <w:pPr>
              <w:pStyle w:val="143"/>
              <w:spacing w:before="28"/>
              <w:ind w:left="94"/>
              <w:rPr>
                <w:rFonts w:ascii="宋体" w:hAnsi="宋体"/>
                <w:color w:val="auto"/>
                <w:szCs w:val="21"/>
                <w:highlight w:val="none"/>
              </w:rPr>
            </w:pPr>
            <w:r>
              <w:rPr>
                <w:color w:val="auto"/>
                <w:sz w:val="21"/>
                <w:szCs w:val="21"/>
                <w:highlight w:val="none"/>
              </w:rPr>
              <w:t>磋商有效期满足磋商文件要求</w:t>
            </w:r>
            <w:r>
              <w:rPr>
                <w:rFonts w:hint="eastAsia" w:ascii="宋体" w:hAnsi="宋体"/>
                <w:color w:val="auto"/>
                <w:szCs w:val="21"/>
                <w:highlight w:val="none"/>
              </w:rPr>
              <w:t>；</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572" w:hRule="atLeast"/>
        </w:trPr>
        <w:tc>
          <w:tcPr>
            <w:tcW w:w="622"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5195" w:type="dxa"/>
            <w:tcBorders>
              <w:top w:val="nil"/>
              <w:left w:val="nil"/>
              <w:bottom w:val="single" w:color="auto" w:sz="4" w:space="0"/>
              <w:right w:val="single" w:color="auto" w:sz="4" w:space="0"/>
            </w:tcBorders>
            <w:noWrap w:val="0"/>
            <w:vAlign w:val="top"/>
          </w:tcPr>
          <w:p>
            <w:pPr>
              <w:pStyle w:val="143"/>
              <w:spacing w:before="28"/>
              <w:ind w:left="94"/>
              <w:rPr>
                <w:rFonts w:ascii="宋体" w:hAnsi="宋体"/>
                <w:color w:val="auto"/>
                <w:szCs w:val="21"/>
                <w:highlight w:val="none"/>
              </w:rPr>
            </w:pPr>
            <w:r>
              <w:rPr>
                <w:color w:val="auto"/>
                <w:sz w:val="21"/>
                <w:szCs w:val="21"/>
                <w:highlight w:val="none"/>
              </w:rPr>
              <w:t>响应文件的签名和盖章符合磋商文件要求</w:t>
            </w:r>
            <w:r>
              <w:rPr>
                <w:rFonts w:hint="eastAsia" w:ascii="宋体" w:hAnsi="宋体"/>
                <w:color w:val="auto"/>
                <w:szCs w:val="21"/>
                <w:highlight w:val="none"/>
              </w:rPr>
              <w:t>；</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506" w:hRule="atLeast"/>
        </w:trPr>
        <w:tc>
          <w:tcPr>
            <w:tcW w:w="622"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195" w:type="dxa"/>
            <w:tcBorders>
              <w:top w:val="nil"/>
              <w:left w:val="nil"/>
              <w:bottom w:val="single" w:color="auto" w:sz="4" w:space="0"/>
              <w:right w:val="single" w:color="auto" w:sz="4" w:space="0"/>
            </w:tcBorders>
            <w:noWrap w:val="0"/>
            <w:vAlign w:val="top"/>
          </w:tcPr>
          <w:p>
            <w:pPr>
              <w:pStyle w:val="143"/>
              <w:spacing w:before="28"/>
              <w:ind w:left="94"/>
              <w:rPr>
                <w:rFonts w:hint="eastAsia" w:ascii="宋体" w:hAnsi="宋体"/>
                <w:color w:val="auto"/>
                <w:szCs w:val="21"/>
                <w:highlight w:val="none"/>
              </w:rPr>
            </w:pPr>
            <w:r>
              <w:rPr>
                <w:color w:val="auto"/>
                <w:sz w:val="21"/>
                <w:szCs w:val="21"/>
                <w:highlight w:val="none"/>
              </w:rPr>
              <w:t>响应文件未含有采购人不能接受的附加条件</w:t>
            </w:r>
            <w:r>
              <w:rPr>
                <w:rFonts w:hint="eastAsia" w:ascii="宋体" w:hAnsi="宋体"/>
                <w:color w:val="auto"/>
                <w:szCs w:val="21"/>
                <w:highlight w:val="none"/>
              </w:rPr>
              <w:t>；</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585" w:hRule="atLeast"/>
        </w:trPr>
        <w:tc>
          <w:tcPr>
            <w:tcW w:w="622"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5195" w:type="dxa"/>
            <w:tcBorders>
              <w:top w:val="nil"/>
              <w:left w:val="nil"/>
              <w:bottom w:val="single" w:color="auto" w:sz="4" w:space="0"/>
              <w:right w:val="single" w:color="auto" w:sz="4" w:space="0"/>
            </w:tcBorders>
            <w:noWrap w:val="0"/>
            <w:vAlign w:val="top"/>
          </w:tcPr>
          <w:p>
            <w:pPr>
              <w:pStyle w:val="143"/>
              <w:spacing w:before="28"/>
              <w:ind w:left="94"/>
              <w:rPr>
                <w:rFonts w:ascii="宋体" w:hAnsi="宋体"/>
                <w:color w:val="auto"/>
                <w:szCs w:val="21"/>
                <w:highlight w:val="none"/>
              </w:rPr>
            </w:pPr>
            <w:r>
              <w:rPr>
                <w:color w:val="auto"/>
                <w:sz w:val="21"/>
                <w:szCs w:val="21"/>
                <w:highlight w:val="none"/>
              </w:rPr>
              <w:t>未出现法律、法规或磋商文件中规定响应无效的其它情形。</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r>
        <w:tblPrEx>
          <w:tblCellMar>
            <w:top w:w="0" w:type="dxa"/>
            <w:left w:w="108" w:type="dxa"/>
            <w:bottom w:w="0" w:type="dxa"/>
            <w:right w:w="108" w:type="dxa"/>
          </w:tblCellMar>
        </w:tblPrEx>
        <w:trPr>
          <w:trHeight w:val="481" w:hRule="atLeast"/>
        </w:trPr>
        <w:tc>
          <w:tcPr>
            <w:tcW w:w="58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结论</w:t>
            </w:r>
          </w:p>
        </w:tc>
        <w:tc>
          <w:tcPr>
            <w:tcW w:w="1028"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c>
          <w:tcPr>
            <w:tcW w:w="1260"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p>
        </w:tc>
      </w:tr>
    </w:tbl>
    <w:p>
      <w:pPr>
        <w:numPr>
          <w:ilvl w:val="0"/>
          <w:numId w:val="12"/>
        </w:numPr>
        <w:tabs>
          <w:tab w:val="left" w:pos="0"/>
          <w:tab w:val="left" w:pos="720"/>
          <w:tab w:val="left" w:pos="1080"/>
        </w:tabs>
        <w:spacing w:line="360" w:lineRule="auto"/>
        <w:ind w:left="0" w:firstLine="420"/>
        <w:jc w:val="both"/>
        <w:rPr>
          <w:rFonts w:ascii="宋体" w:hAnsi="宋体"/>
          <w:b/>
          <w:color w:val="auto"/>
          <w:szCs w:val="21"/>
          <w:highlight w:val="none"/>
        </w:rPr>
      </w:pPr>
      <w:r>
        <w:rPr>
          <w:rFonts w:hint="eastAsia" w:ascii="宋体" w:hAnsi="宋体"/>
          <w:b/>
          <w:color w:val="auto"/>
          <w:szCs w:val="21"/>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numPr>
          <w:ilvl w:val="0"/>
          <w:numId w:val="12"/>
        </w:numPr>
        <w:tabs>
          <w:tab w:val="left" w:pos="0"/>
          <w:tab w:val="left" w:pos="720"/>
          <w:tab w:val="left" w:pos="108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磋商小组进行资格及符合性审查时发现供应商有实质性不响应采购文件的，由磋商小组现场告知该供应商并说明理由。</w:t>
      </w:r>
    </w:p>
    <w:p>
      <w:pPr>
        <w:numPr>
          <w:ilvl w:val="0"/>
          <w:numId w:val="12"/>
        </w:numPr>
        <w:tabs>
          <w:tab w:val="left" w:pos="0"/>
          <w:tab w:val="left" w:pos="720"/>
          <w:tab w:val="left" w:pos="108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在磋商过程中，供应商提交的澄清文件和最终竞争性磋商响应文件，由供应商法定代表人或授权代表签署后生效，供应商应受其约束。因此，该签字人参加磋商时需出示有效的身份证明文件，否则，其签字的澄清文件和最终竞争性磋商响应文件无效。</w:t>
      </w:r>
    </w:p>
    <w:p>
      <w:pPr>
        <w:numPr>
          <w:ilvl w:val="0"/>
          <w:numId w:val="12"/>
        </w:numPr>
        <w:tabs>
          <w:tab w:val="left" w:pos="0"/>
          <w:tab w:val="left" w:pos="720"/>
          <w:tab w:val="left" w:pos="108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被磋商小组确定为响应文件无效的，其响应文件即被视为不能通过资格和符合性审查，不参与技术、商务和价格的评审。</w:t>
      </w:r>
    </w:p>
    <w:bookmarkEnd w:id="292"/>
    <w:p>
      <w:pPr>
        <w:rPr>
          <w:color w:val="auto"/>
          <w:highlight w:val="none"/>
        </w:rPr>
      </w:pPr>
    </w:p>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技术商务磋商</w:t>
      </w:r>
    </w:p>
    <w:p>
      <w:pPr>
        <w:numPr>
          <w:ilvl w:val="0"/>
          <w:numId w:val="13"/>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磋商小组邀请在规定时间内递交响应文件的供应商参加磋商，以递交响应文件的先后顺序对供应商进行磋商排序。</w:t>
      </w:r>
    </w:p>
    <w:p>
      <w:pPr>
        <w:numPr>
          <w:ilvl w:val="0"/>
          <w:numId w:val="13"/>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磋商小组与供应商应围绕资格条件、技术、商务、合同条款等内容分别进行一轮或多轮的磋商。若有效供应商只有2家，按竞争择优原则与两家供应商展开磋商。在磋商过程中，磋商小组应当严格遵循保密原则，未经供应商同意不得向任何人透露当事人技术、价格和其他重要信息。</w:t>
      </w:r>
    </w:p>
    <w:p>
      <w:pPr>
        <w:numPr>
          <w:ilvl w:val="0"/>
          <w:numId w:val="13"/>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采购文件的修正：磋商小组调整或修改采购需求内容时，应取得磋商小组的一致同意，并以书面形式通知所有参加磋商的供应商。但任何形式的决定须以符合公平、公正原则和有利于项目的顺利实施为前提。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13"/>
        </w:numPr>
        <w:tabs>
          <w:tab w:val="left" w:pos="0"/>
          <w:tab w:val="left" w:pos="720"/>
          <w:tab w:val="left" w:pos="1080"/>
          <w:tab w:val="clear" w:pos="840"/>
        </w:tabs>
        <w:spacing w:line="360" w:lineRule="auto"/>
        <w:ind w:left="0" w:firstLine="420"/>
        <w:jc w:val="both"/>
        <w:rPr>
          <w:rFonts w:hint="eastAsia" w:ascii="宋体" w:hAnsi="宋体"/>
          <w:color w:val="auto"/>
          <w:szCs w:val="21"/>
          <w:highlight w:val="none"/>
        </w:rPr>
      </w:pPr>
      <w:r>
        <w:rPr>
          <w:rFonts w:hint="eastAsia" w:ascii="宋体" w:hAnsi="宋体"/>
          <w:color w:val="auto"/>
          <w:szCs w:val="21"/>
          <w:highlight w:val="none"/>
        </w:rPr>
        <w:t>在磋商过程中，报价人提交的澄清文件和最终报价文件，由报价人法人代表或授权代表签署后生效，报价人应受其约束。</w:t>
      </w:r>
    </w:p>
    <w:p>
      <w:pPr>
        <w:numPr>
          <w:ilvl w:val="0"/>
          <w:numId w:val="13"/>
        </w:numPr>
        <w:tabs>
          <w:tab w:val="left" w:pos="0"/>
          <w:tab w:val="left" w:pos="720"/>
          <w:tab w:val="left" w:pos="1080"/>
          <w:tab w:val="clear" w:pos="840"/>
        </w:tabs>
        <w:spacing w:line="360" w:lineRule="auto"/>
        <w:ind w:left="0" w:firstLine="420"/>
        <w:jc w:val="both"/>
        <w:rPr>
          <w:rFonts w:hint="eastAsia" w:ascii="宋体" w:hAnsi="宋体"/>
          <w:color w:val="auto"/>
          <w:szCs w:val="21"/>
          <w:highlight w:val="none"/>
        </w:rPr>
      </w:pPr>
      <w:r>
        <w:rPr>
          <w:rFonts w:hint="eastAsia" w:ascii="宋体" w:hAnsi="宋体"/>
          <w:color w:val="auto"/>
          <w:szCs w:val="21"/>
          <w:highlight w:val="none"/>
        </w:rPr>
        <w:t>供应商磋商结束后，需登录电子评审系统提交最后报价并完成电子签章。</w:t>
      </w:r>
    </w:p>
    <w:p>
      <w:pPr>
        <w:numPr>
          <w:ilvl w:val="0"/>
          <w:numId w:val="13"/>
        </w:numPr>
        <w:tabs>
          <w:tab w:val="left" w:pos="0"/>
          <w:tab w:val="left" w:pos="720"/>
          <w:tab w:val="left" w:pos="1080"/>
          <w:tab w:val="clear" w:pos="840"/>
        </w:tabs>
        <w:spacing w:line="360" w:lineRule="auto"/>
        <w:ind w:left="0" w:firstLine="420"/>
        <w:jc w:val="both"/>
        <w:rPr>
          <w:rFonts w:hint="eastAsia" w:ascii="宋体" w:hAnsi="宋体"/>
          <w:color w:val="auto"/>
          <w:szCs w:val="21"/>
          <w:highlight w:val="none"/>
        </w:rPr>
      </w:pPr>
      <w:r>
        <w:rPr>
          <w:rFonts w:hint="eastAsia" w:ascii="宋体" w:hAnsi="宋体"/>
          <w:color w:val="auto"/>
          <w:szCs w:val="21"/>
          <w:highlight w:val="none"/>
        </w:rPr>
        <w:t>最终报价是供应商响应文件的有效组成部分。</w:t>
      </w:r>
    </w:p>
    <w:p>
      <w:pPr>
        <w:spacing w:line="360" w:lineRule="auto"/>
        <w:ind w:left="425"/>
        <w:rPr>
          <w:rFonts w:ascii="宋体" w:hAnsi="宋体"/>
          <w:b/>
          <w:color w:val="auto"/>
          <w:szCs w:val="21"/>
          <w:highlight w:val="none"/>
        </w:rPr>
      </w:pPr>
    </w:p>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响应文件的澄清</w:t>
      </w:r>
    </w:p>
    <w:p>
      <w:pPr>
        <w:numPr>
          <w:ilvl w:val="0"/>
          <w:numId w:val="14"/>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对响应文件中含义不明确、同类问题表述不一致或者有明显文字和计算错误的内容，磋商小组可以书面形式要求供应商作出必要的澄清、说明或者纠正。</w:t>
      </w:r>
    </w:p>
    <w:p>
      <w:pPr>
        <w:numPr>
          <w:ilvl w:val="0"/>
          <w:numId w:val="14"/>
        </w:numPr>
        <w:tabs>
          <w:tab w:val="left" w:pos="0"/>
          <w:tab w:val="left" w:pos="720"/>
          <w:tab w:val="left" w:pos="1080"/>
          <w:tab w:val="clear" w:pos="840"/>
        </w:tabs>
        <w:spacing w:line="360" w:lineRule="auto"/>
        <w:ind w:left="0" w:firstLine="420"/>
        <w:jc w:val="both"/>
        <w:rPr>
          <w:rFonts w:ascii="宋体" w:hAnsi="宋体"/>
          <w:color w:val="auto"/>
          <w:szCs w:val="21"/>
          <w:highlight w:val="none"/>
        </w:rPr>
      </w:pPr>
      <w:r>
        <w:rPr>
          <w:rFonts w:hint="eastAsia" w:ascii="宋体" w:hAnsi="宋体"/>
          <w:color w:val="auto"/>
          <w:szCs w:val="21"/>
          <w:highlight w:val="none"/>
        </w:rPr>
        <w:t>供应商的澄清、说明或者补正应当采用书面形式，由其授权的代表签字，并不得超出响应文件的范围或者改变响应文件的实质性内容。</w:t>
      </w:r>
    </w:p>
    <w:p>
      <w:pPr>
        <w:pStyle w:val="10"/>
        <w:spacing w:line="360" w:lineRule="auto"/>
        <w:rPr>
          <w:rFonts w:ascii="宋体" w:hAnsi="宋体"/>
          <w:color w:val="auto"/>
          <w:szCs w:val="21"/>
          <w:highlight w:val="none"/>
        </w:rPr>
      </w:pPr>
    </w:p>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评审权重</w:t>
      </w:r>
    </w:p>
    <w:p>
      <w:pPr>
        <w:tabs>
          <w:tab w:val="left" w:pos="851"/>
        </w:tabs>
        <w:spacing w:line="360" w:lineRule="auto"/>
        <w:ind w:left="425"/>
        <w:rPr>
          <w:rFonts w:hint="eastAsia" w:ascii="宋体" w:hAnsi="宋体"/>
          <w:color w:val="auto"/>
          <w:szCs w:val="21"/>
          <w:highlight w:val="none"/>
        </w:rPr>
      </w:pPr>
      <w:r>
        <w:rPr>
          <w:rFonts w:hint="eastAsia" w:ascii="宋体" w:hAnsi="宋体"/>
          <w:color w:val="auto"/>
          <w:szCs w:val="21"/>
          <w:highlight w:val="none"/>
        </w:rPr>
        <w:t>本次评标采用综合评分法。评审以采购文件规定的条件为依据。各项评审得分权重如下：</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915"/>
        <w:gridCol w:w="1899"/>
        <w:gridCol w:w="164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9" w:type="dxa"/>
            <w:noWrap w:val="0"/>
            <w:vAlign w:val="center"/>
          </w:tcPr>
          <w:p>
            <w:pPr>
              <w:widowControl w:val="0"/>
              <w:spacing w:line="360" w:lineRule="auto"/>
              <w:jc w:val="center"/>
              <w:rPr>
                <w:rFonts w:ascii="宋体" w:hAnsi="宋体"/>
                <w:b/>
                <w:bCs/>
                <w:color w:val="auto"/>
                <w:kern w:val="2"/>
                <w:szCs w:val="21"/>
                <w:highlight w:val="none"/>
              </w:rPr>
            </w:pPr>
            <w:r>
              <w:rPr>
                <w:rFonts w:hint="eastAsia" w:ascii="宋体" w:hAnsi="宋体"/>
                <w:b/>
                <w:bCs/>
                <w:color w:val="auto"/>
                <w:kern w:val="2"/>
                <w:szCs w:val="21"/>
                <w:highlight w:val="none"/>
              </w:rPr>
              <w:t>评审项目</w:t>
            </w:r>
          </w:p>
        </w:tc>
        <w:tc>
          <w:tcPr>
            <w:tcW w:w="1915" w:type="dxa"/>
            <w:noWrap w:val="0"/>
            <w:vAlign w:val="center"/>
          </w:tcPr>
          <w:p>
            <w:pPr>
              <w:widowControl w:val="0"/>
              <w:spacing w:line="360" w:lineRule="auto"/>
              <w:jc w:val="center"/>
              <w:rPr>
                <w:rFonts w:ascii="宋体" w:hAnsi="宋体"/>
                <w:b/>
                <w:bCs/>
                <w:color w:val="auto"/>
                <w:kern w:val="2"/>
                <w:szCs w:val="21"/>
                <w:highlight w:val="none"/>
              </w:rPr>
            </w:pPr>
            <w:r>
              <w:rPr>
                <w:rFonts w:hint="eastAsia" w:ascii="宋体" w:hAnsi="宋体"/>
                <w:b/>
                <w:bCs/>
                <w:color w:val="auto"/>
                <w:kern w:val="2"/>
                <w:szCs w:val="21"/>
                <w:highlight w:val="none"/>
              </w:rPr>
              <w:t>商务得分</w:t>
            </w:r>
          </w:p>
        </w:tc>
        <w:tc>
          <w:tcPr>
            <w:tcW w:w="1899" w:type="dxa"/>
            <w:noWrap w:val="0"/>
            <w:vAlign w:val="center"/>
          </w:tcPr>
          <w:p>
            <w:pPr>
              <w:widowControl w:val="0"/>
              <w:spacing w:line="360" w:lineRule="auto"/>
              <w:jc w:val="center"/>
              <w:rPr>
                <w:rFonts w:ascii="宋体" w:hAnsi="宋体"/>
                <w:b/>
                <w:bCs/>
                <w:color w:val="auto"/>
                <w:kern w:val="2"/>
                <w:szCs w:val="21"/>
                <w:highlight w:val="none"/>
              </w:rPr>
            </w:pPr>
            <w:r>
              <w:rPr>
                <w:rFonts w:hint="eastAsia" w:ascii="宋体" w:hAnsi="宋体"/>
                <w:b/>
                <w:bCs/>
                <w:color w:val="auto"/>
                <w:kern w:val="2"/>
                <w:szCs w:val="21"/>
                <w:highlight w:val="none"/>
              </w:rPr>
              <w:t>技术得分</w:t>
            </w:r>
          </w:p>
        </w:tc>
        <w:tc>
          <w:tcPr>
            <w:tcW w:w="1647" w:type="dxa"/>
            <w:noWrap w:val="0"/>
            <w:vAlign w:val="center"/>
          </w:tcPr>
          <w:p>
            <w:pPr>
              <w:widowControl w:val="0"/>
              <w:spacing w:line="360" w:lineRule="auto"/>
              <w:jc w:val="center"/>
              <w:rPr>
                <w:rFonts w:ascii="宋体" w:hAnsi="宋体"/>
                <w:b/>
                <w:bCs/>
                <w:color w:val="auto"/>
                <w:kern w:val="2"/>
                <w:szCs w:val="21"/>
                <w:highlight w:val="none"/>
              </w:rPr>
            </w:pPr>
            <w:r>
              <w:rPr>
                <w:rFonts w:hint="eastAsia" w:ascii="宋体" w:hAnsi="宋体"/>
                <w:b/>
                <w:bCs/>
                <w:color w:val="auto"/>
                <w:kern w:val="2"/>
                <w:szCs w:val="21"/>
                <w:highlight w:val="none"/>
              </w:rPr>
              <w:t>价格得分</w:t>
            </w:r>
          </w:p>
        </w:tc>
        <w:tc>
          <w:tcPr>
            <w:tcW w:w="1636" w:type="dxa"/>
            <w:noWrap w:val="0"/>
            <w:vAlign w:val="center"/>
          </w:tcPr>
          <w:p>
            <w:pPr>
              <w:widowControl w:val="0"/>
              <w:spacing w:line="360" w:lineRule="auto"/>
              <w:jc w:val="center"/>
              <w:rPr>
                <w:rFonts w:hint="eastAsia" w:ascii="宋体" w:hAnsi="宋体"/>
                <w:b/>
                <w:bCs/>
                <w:color w:val="auto"/>
                <w:kern w:val="2"/>
                <w:szCs w:val="21"/>
                <w:highlight w:val="none"/>
              </w:rPr>
            </w:pPr>
            <w:r>
              <w:rPr>
                <w:rFonts w:hint="eastAsia" w:ascii="宋体" w:hAnsi="宋体"/>
                <w:b/>
                <w:bCs/>
                <w:color w:val="auto"/>
                <w:kern w:val="2"/>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9"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rPr>
              <w:t>权重</w:t>
            </w:r>
          </w:p>
        </w:tc>
        <w:tc>
          <w:tcPr>
            <w:tcW w:w="1915" w:type="dxa"/>
            <w:noWrap w:val="0"/>
            <w:vAlign w:val="center"/>
          </w:tcPr>
          <w:p>
            <w:pPr>
              <w:widowControl w:val="0"/>
              <w:spacing w:line="360" w:lineRule="auto"/>
              <w:jc w:val="center"/>
              <w:rPr>
                <w:rFonts w:hint="eastAsia" w:ascii="宋体" w:hAnsi="宋体"/>
                <w:bCs/>
                <w:color w:val="auto"/>
                <w:kern w:val="2"/>
                <w:szCs w:val="21"/>
                <w:highlight w:val="none"/>
              </w:rPr>
            </w:pPr>
            <w:r>
              <w:rPr>
                <w:rFonts w:hint="eastAsia" w:ascii="宋体" w:hAnsi="宋体"/>
                <w:bCs/>
                <w:color w:val="auto"/>
                <w:kern w:val="2"/>
                <w:szCs w:val="21"/>
                <w:highlight w:val="none"/>
                <w:lang w:val="en-US" w:eastAsia="zh-CN"/>
              </w:rPr>
              <w:t>3</w:t>
            </w:r>
            <w:r>
              <w:rPr>
                <w:rFonts w:hint="eastAsia" w:ascii="宋体" w:hAnsi="宋体"/>
                <w:bCs/>
                <w:color w:val="auto"/>
                <w:kern w:val="2"/>
                <w:szCs w:val="21"/>
                <w:highlight w:val="none"/>
              </w:rPr>
              <w:t>0%</w:t>
            </w:r>
          </w:p>
        </w:tc>
        <w:tc>
          <w:tcPr>
            <w:tcW w:w="1899" w:type="dxa"/>
            <w:noWrap w:val="0"/>
            <w:vAlign w:val="center"/>
          </w:tcPr>
          <w:p>
            <w:pPr>
              <w:widowControl w:val="0"/>
              <w:spacing w:line="360" w:lineRule="auto"/>
              <w:jc w:val="center"/>
              <w:rPr>
                <w:rFonts w:hint="eastAsia" w:ascii="宋体" w:hAnsi="宋体"/>
                <w:bCs/>
                <w:color w:val="auto"/>
                <w:kern w:val="2"/>
                <w:szCs w:val="21"/>
                <w:highlight w:val="none"/>
              </w:rPr>
            </w:pPr>
            <w:r>
              <w:rPr>
                <w:rFonts w:hint="eastAsia" w:ascii="宋体" w:hAnsi="宋体"/>
                <w:bCs/>
                <w:color w:val="auto"/>
                <w:kern w:val="2"/>
                <w:szCs w:val="21"/>
                <w:highlight w:val="none"/>
                <w:lang w:val="en-US" w:eastAsia="zh-CN"/>
              </w:rPr>
              <w:t>50</w:t>
            </w:r>
            <w:r>
              <w:rPr>
                <w:rFonts w:hint="eastAsia" w:ascii="宋体" w:hAnsi="宋体"/>
                <w:bCs/>
                <w:color w:val="auto"/>
                <w:kern w:val="2"/>
                <w:szCs w:val="21"/>
                <w:highlight w:val="none"/>
              </w:rPr>
              <w:t>%</w:t>
            </w:r>
          </w:p>
        </w:tc>
        <w:tc>
          <w:tcPr>
            <w:tcW w:w="1647" w:type="dxa"/>
            <w:noWrap w:val="0"/>
            <w:vAlign w:val="center"/>
          </w:tcPr>
          <w:p>
            <w:pPr>
              <w:widowControl w:val="0"/>
              <w:spacing w:line="360" w:lineRule="auto"/>
              <w:jc w:val="center"/>
              <w:rPr>
                <w:rFonts w:hint="eastAsia" w:ascii="宋体" w:hAnsi="宋体"/>
                <w:bCs/>
                <w:color w:val="auto"/>
                <w:kern w:val="2"/>
                <w:szCs w:val="21"/>
                <w:highlight w:val="none"/>
              </w:rPr>
            </w:pPr>
            <w:r>
              <w:rPr>
                <w:rFonts w:hint="eastAsia" w:ascii="宋体" w:hAnsi="宋体"/>
                <w:bCs/>
                <w:color w:val="auto"/>
                <w:kern w:val="2"/>
                <w:szCs w:val="21"/>
                <w:highlight w:val="none"/>
                <w:lang w:val="en-US" w:eastAsia="zh-CN"/>
              </w:rPr>
              <w:t>20</w:t>
            </w:r>
            <w:r>
              <w:rPr>
                <w:rFonts w:hint="eastAsia" w:ascii="宋体" w:hAnsi="宋体"/>
                <w:bCs/>
                <w:color w:val="auto"/>
                <w:kern w:val="2"/>
                <w:szCs w:val="21"/>
                <w:highlight w:val="none"/>
              </w:rPr>
              <w:t>%</w:t>
            </w:r>
          </w:p>
        </w:tc>
        <w:tc>
          <w:tcPr>
            <w:tcW w:w="1636" w:type="dxa"/>
            <w:noWrap w:val="0"/>
            <w:vAlign w:val="center"/>
          </w:tcPr>
          <w:p>
            <w:pPr>
              <w:widowControl w:val="0"/>
              <w:spacing w:line="360" w:lineRule="auto"/>
              <w:jc w:val="center"/>
              <w:rPr>
                <w:rFonts w:hint="eastAsia" w:ascii="宋体" w:hAnsi="宋体"/>
                <w:bCs/>
                <w:color w:val="auto"/>
                <w:kern w:val="2"/>
                <w:szCs w:val="21"/>
                <w:highlight w:val="none"/>
              </w:rPr>
            </w:pPr>
            <w:r>
              <w:rPr>
                <w:rFonts w:hint="eastAsia" w:ascii="宋体" w:hAnsi="宋体"/>
                <w:bCs/>
                <w:color w:val="auto"/>
                <w:kern w:val="2"/>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9"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rPr>
              <w:t>分值</w:t>
            </w:r>
          </w:p>
        </w:tc>
        <w:tc>
          <w:tcPr>
            <w:tcW w:w="1915"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lang w:val="en-US" w:eastAsia="zh-CN"/>
              </w:rPr>
              <w:t>30</w:t>
            </w:r>
            <w:r>
              <w:rPr>
                <w:rFonts w:hint="eastAsia" w:ascii="宋体" w:hAnsi="宋体"/>
                <w:bCs/>
                <w:color w:val="auto"/>
                <w:kern w:val="2"/>
                <w:szCs w:val="21"/>
                <w:highlight w:val="none"/>
              </w:rPr>
              <w:t>分</w:t>
            </w:r>
          </w:p>
        </w:tc>
        <w:tc>
          <w:tcPr>
            <w:tcW w:w="1899"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lang w:val="en-US" w:eastAsia="zh-CN"/>
              </w:rPr>
              <w:t>50</w:t>
            </w:r>
            <w:r>
              <w:rPr>
                <w:rFonts w:hint="eastAsia" w:ascii="宋体" w:hAnsi="宋体"/>
                <w:bCs/>
                <w:color w:val="auto"/>
                <w:kern w:val="2"/>
                <w:szCs w:val="21"/>
                <w:highlight w:val="none"/>
              </w:rPr>
              <w:t>分</w:t>
            </w:r>
          </w:p>
        </w:tc>
        <w:tc>
          <w:tcPr>
            <w:tcW w:w="1647"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lang w:val="en-US" w:eastAsia="zh-CN"/>
              </w:rPr>
              <w:t>20</w:t>
            </w:r>
            <w:r>
              <w:rPr>
                <w:rFonts w:hint="eastAsia" w:ascii="宋体" w:hAnsi="宋体"/>
                <w:bCs/>
                <w:color w:val="auto"/>
                <w:kern w:val="2"/>
                <w:szCs w:val="21"/>
                <w:highlight w:val="none"/>
              </w:rPr>
              <w:t>分</w:t>
            </w:r>
          </w:p>
        </w:tc>
        <w:tc>
          <w:tcPr>
            <w:tcW w:w="1636" w:type="dxa"/>
            <w:noWrap w:val="0"/>
            <w:vAlign w:val="center"/>
          </w:tcPr>
          <w:p>
            <w:pPr>
              <w:widowControl w:val="0"/>
              <w:spacing w:line="360" w:lineRule="auto"/>
              <w:jc w:val="center"/>
              <w:rPr>
                <w:rFonts w:ascii="宋体" w:hAnsi="宋体"/>
                <w:bCs/>
                <w:color w:val="auto"/>
                <w:kern w:val="2"/>
                <w:szCs w:val="21"/>
                <w:highlight w:val="none"/>
              </w:rPr>
            </w:pPr>
            <w:r>
              <w:rPr>
                <w:rFonts w:hint="eastAsia" w:ascii="宋体" w:hAnsi="宋体"/>
                <w:bCs/>
                <w:color w:val="auto"/>
                <w:kern w:val="2"/>
                <w:szCs w:val="21"/>
                <w:highlight w:val="none"/>
              </w:rPr>
              <w:t>100分</w:t>
            </w:r>
          </w:p>
        </w:tc>
      </w:tr>
    </w:tbl>
    <w:p>
      <w:pPr>
        <w:tabs>
          <w:tab w:val="left" w:pos="851"/>
        </w:tabs>
        <w:spacing w:line="360" w:lineRule="auto"/>
        <w:ind w:left="425"/>
        <w:rPr>
          <w:rFonts w:hint="eastAsia" w:ascii="宋体" w:hAnsi="宋体" w:cs="Arial"/>
          <w:b/>
          <w:bCs/>
          <w:color w:val="auto"/>
          <w:szCs w:val="21"/>
          <w:highlight w:val="none"/>
        </w:rPr>
      </w:pPr>
    </w:p>
    <w:p>
      <w:pPr>
        <w:numPr>
          <w:ilvl w:val="1"/>
          <w:numId w:val="11"/>
        </w:numPr>
        <w:spacing w:line="360" w:lineRule="auto"/>
        <w:rPr>
          <w:rFonts w:hint="eastAsia" w:ascii="宋体" w:hAnsi="宋体"/>
          <w:b/>
          <w:color w:val="auto"/>
          <w:szCs w:val="21"/>
          <w:highlight w:val="none"/>
        </w:rPr>
      </w:pPr>
      <w:bookmarkStart w:id="293" w:name="OLE_LINK8"/>
      <w:r>
        <w:rPr>
          <w:rFonts w:hint="eastAsia" w:ascii="宋体" w:hAnsi="宋体"/>
          <w:b/>
          <w:color w:val="auto"/>
          <w:szCs w:val="21"/>
          <w:highlight w:val="none"/>
        </w:rPr>
        <w:t>商务、技术评审</w:t>
      </w:r>
    </w:p>
    <w:p>
      <w:pPr>
        <w:pStyle w:val="8"/>
        <w:ind w:firstLine="422" w:firstLineChars="200"/>
        <w:rPr>
          <w:b/>
          <w:color w:val="auto"/>
          <w:highlight w:val="none"/>
        </w:rPr>
      </w:pPr>
      <w:r>
        <w:rPr>
          <w:rFonts w:hint="eastAsia"/>
          <w:b/>
          <w:color w:val="auto"/>
          <w:highlight w:val="none"/>
        </w:rPr>
        <w:t>1、商务评审：</w:t>
      </w:r>
    </w:p>
    <w:p>
      <w:pPr>
        <w:numPr>
          <w:ilvl w:val="0"/>
          <w:numId w:val="15"/>
        </w:numPr>
        <w:tabs>
          <w:tab w:val="left" w:pos="0"/>
          <w:tab w:val="left" w:pos="720"/>
          <w:tab w:val="left" w:pos="1080"/>
        </w:tabs>
        <w:spacing w:line="360" w:lineRule="auto"/>
        <w:ind w:left="0" w:firstLine="420" w:firstLineChars="200"/>
        <w:jc w:val="both"/>
        <w:rPr>
          <w:rFonts w:hint="eastAsia" w:ascii="宋体" w:hAnsi="宋体"/>
          <w:color w:val="auto"/>
          <w:szCs w:val="21"/>
          <w:highlight w:val="none"/>
        </w:rPr>
      </w:pPr>
      <w:bookmarkStart w:id="294" w:name="OLE_LINK9"/>
      <w:r>
        <w:rPr>
          <w:rFonts w:hint="eastAsia" w:ascii="宋体" w:hAnsi="宋体"/>
          <w:color w:val="auto"/>
          <w:szCs w:val="21"/>
          <w:highlight w:val="none"/>
        </w:rPr>
        <w:t>由评委根据《商务评审表》要求，对所有有效响应文件的商务响应情况进行审核、评价，并进行独立打分。</w:t>
      </w:r>
    </w:p>
    <w:p>
      <w:pPr>
        <w:numPr>
          <w:ilvl w:val="0"/>
          <w:numId w:val="15"/>
        </w:numPr>
        <w:tabs>
          <w:tab w:val="left" w:pos="0"/>
          <w:tab w:val="left" w:pos="720"/>
          <w:tab w:val="left" w:pos="1080"/>
        </w:tabs>
        <w:spacing w:line="360" w:lineRule="auto"/>
        <w:ind w:left="0" w:firstLine="420" w:firstLineChars="200"/>
        <w:jc w:val="both"/>
        <w:rPr>
          <w:rFonts w:ascii="宋体" w:hAnsi="宋体"/>
          <w:color w:val="auto"/>
          <w:szCs w:val="21"/>
          <w:highlight w:val="none"/>
        </w:rPr>
      </w:pPr>
      <w:r>
        <w:rPr>
          <w:rFonts w:hint="eastAsia" w:ascii="宋体" w:hAnsi="宋体"/>
          <w:color w:val="auto"/>
          <w:szCs w:val="21"/>
          <w:highlight w:val="none"/>
        </w:rPr>
        <w:t>将各评委的商务评分进行算术平均，得出该供应商的商务得分(按四舍五入原则精确到小数点后两位)。</w:t>
      </w:r>
    </w:p>
    <w:p>
      <w:pPr>
        <w:numPr>
          <w:ilvl w:val="0"/>
          <w:numId w:val="15"/>
        </w:numPr>
        <w:tabs>
          <w:tab w:val="left" w:pos="0"/>
          <w:tab w:val="left" w:pos="720"/>
          <w:tab w:val="left" w:pos="1080"/>
        </w:tabs>
        <w:spacing w:line="360" w:lineRule="auto"/>
        <w:ind w:left="0" w:firstLine="420" w:firstLineChars="200"/>
        <w:jc w:val="both"/>
        <w:rPr>
          <w:rFonts w:hint="eastAsia" w:ascii="宋体" w:hAnsi="宋体"/>
          <w:color w:val="auto"/>
          <w:szCs w:val="21"/>
          <w:highlight w:val="none"/>
        </w:rPr>
      </w:pPr>
      <w:r>
        <w:rPr>
          <w:rFonts w:hint="eastAsia" w:ascii="宋体" w:hAnsi="宋体"/>
          <w:color w:val="auto"/>
          <w:szCs w:val="21"/>
          <w:highlight w:val="none"/>
        </w:rPr>
        <w:t>商务评审表：见本章后附表。</w:t>
      </w:r>
    </w:p>
    <w:bookmarkEnd w:id="294"/>
    <w:p>
      <w:pPr>
        <w:pStyle w:val="8"/>
        <w:ind w:firstLine="422" w:firstLineChars="200"/>
        <w:rPr>
          <w:b/>
          <w:color w:val="auto"/>
          <w:highlight w:val="none"/>
        </w:rPr>
      </w:pPr>
      <w:r>
        <w:rPr>
          <w:rFonts w:hint="eastAsia"/>
          <w:b/>
          <w:color w:val="auto"/>
          <w:highlight w:val="none"/>
        </w:rPr>
        <w:t>2、技术评审：</w:t>
      </w:r>
    </w:p>
    <w:p>
      <w:pPr>
        <w:numPr>
          <w:ilvl w:val="0"/>
          <w:numId w:val="16"/>
        </w:numPr>
        <w:tabs>
          <w:tab w:val="left" w:pos="0"/>
          <w:tab w:val="left" w:pos="720"/>
          <w:tab w:val="left" w:pos="1080"/>
        </w:tabs>
        <w:spacing w:line="360" w:lineRule="auto"/>
        <w:ind w:left="0" w:firstLine="420" w:firstLineChars="200"/>
        <w:jc w:val="both"/>
        <w:rPr>
          <w:rFonts w:hint="eastAsia" w:ascii="宋体" w:hAnsi="宋体"/>
          <w:color w:val="auto"/>
          <w:szCs w:val="21"/>
          <w:highlight w:val="none"/>
        </w:rPr>
      </w:pPr>
      <w:r>
        <w:rPr>
          <w:rFonts w:hint="eastAsia" w:ascii="宋体" w:hAnsi="宋体"/>
          <w:color w:val="auto"/>
          <w:szCs w:val="21"/>
          <w:highlight w:val="none"/>
        </w:rPr>
        <w:t>由评委根据《技术评审表》要求，对所有有效响应文件的技术响应情况进行审核、评价，并进行独立打分。</w:t>
      </w:r>
    </w:p>
    <w:p>
      <w:pPr>
        <w:numPr>
          <w:ilvl w:val="0"/>
          <w:numId w:val="16"/>
        </w:numPr>
        <w:tabs>
          <w:tab w:val="left" w:pos="0"/>
          <w:tab w:val="left" w:pos="720"/>
          <w:tab w:val="left" w:pos="1080"/>
        </w:tabs>
        <w:spacing w:line="360" w:lineRule="auto"/>
        <w:ind w:left="0" w:firstLine="420" w:firstLineChars="200"/>
        <w:jc w:val="both"/>
        <w:rPr>
          <w:rFonts w:hint="eastAsia" w:ascii="宋体" w:hAnsi="宋体"/>
          <w:color w:val="auto"/>
          <w:szCs w:val="21"/>
          <w:highlight w:val="none"/>
        </w:rPr>
      </w:pPr>
      <w:r>
        <w:rPr>
          <w:rFonts w:hint="eastAsia" w:ascii="宋体" w:hAnsi="宋体"/>
          <w:color w:val="auto"/>
          <w:szCs w:val="21"/>
          <w:highlight w:val="none"/>
        </w:rPr>
        <w:t>将各评委的技术评分进行算术平均，得出该供应商的技术得分(按四舍五入原则精确到小数点后两位)。</w:t>
      </w:r>
    </w:p>
    <w:p>
      <w:pPr>
        <w:numPr>
          <w:ilvl w:val="0"/>
          <w:numId w:val="16"/>
        </w:numPr>
        <w:tabs>
          <w:tab w:val="left" w:pos="0"/>
          <w:tab w:val="left" w:pos="720"/>
          <w:tab w:val="left" w:pos="1080"/>
        </w:tabs>
        <w:spacing w:line="360" w:lineRule="auto"/>
        <w:ind w:left="0" w:firstLine="420" w:firstLineChars="200"/>
        <w:jc w:val="both"/>
        <w:rPr>
          <w:rFonts w:hint="eastAsia" w:ascii="宋体" w:hAnsi="宋体"/>
          <w:b/>
          <w:color w:val="auto"/>
          <w:szCs w:val="21"/>
          <w:highlight w:val="none"/>
        </w:rPr>
      </w:pPr>
      <w:r>
        <w:rPr>
          <w:rFonts w:hint="eastAsia" w:ascii="宋体" w:hAnsi="宋体"/>
          <w:color w:val="auto"/>
          <w:szCs w:val="21"/>
          <w:highlight w:val="none"/>
        </w:rPr>
        <w:t>技术评审表：见本章后附表。</w:t>
      </w:r>
    </w:p>
    <w:bookmarkEnd w:id="293"/>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价格评审</w:t>
      </w:r>
    </w:p>
    <w:p>
      <w:pPr>
        <w:numPr>
          <w:ilvl w:val="2"/>
          <w:numId w:val="17"/>
        </w:numPr>
        <w:tabs>
          <w:tab w:val="left" w:pos="720"/>
        </w:tabs>
        <w:spacing w:line="360" w:lineRule="auto"/>
        <w:ind w:left="0" w:firstLine="360"/>
        <w:jc w:val="both"/>
        <w:rPr>
          <w:rFonts w:ascii="宋体" w:hAnsi="宋体"/>
          <w:color w:val="auto"/>
          <w:szCs w:val="21"/>
          <w:highlight w:val="none"/>
        </w:rPr>
      </w:pPr>
      <w:r>
        <w:rPr>
          <w:rFonts w:hint="eastAsia" w:ascii="宋体" w:hAnsi="宋体"/>
          <w:color w:val="auto"/>
          <w:szCs w:val="21"/>
          <w:highlight w:val="none"/>
        </w:rPr>
        <w:t>最终报价：所有作出实质性响应的有效供应商应在规定的时间内集中密封提交最终报价（最终报价时间视磋商进程由磋商小组决定）。</w:t>
      </w:r>
    </w:p>
    <w:p>
      <w:pPr>
        <w:numPr>
          <w:ilvl w:val="2"/>
          <w:numId w:val="17"/>
        </w:numPr>
        <w:tabs>
          <w:tab w:val="left" w:pos="720"/>
        </w:tabs>
        <w:spacing w:line="360" w:lineRule="auto"/>
        <w:ind w:left="0" w:firstLine="360"/>
        <w:jc w:val="both"/>
        <w:rPr>
          <w:rFonts w:ascii="宋体" w:hAnsi="宋体"/>
          <w:color w:val="auto"/>
          <w:szCs w:val="21"/>
          <w:highlight w:val="none"/>
        </w:rPr>
      </w:pPr>
      <w:r>
        <w:rPr>
          <w:rFonts w:hint="eastAsia" w:ascii="宋体" w:hAnsi="宋体"/>
          <w:color w:val="auto"/>
          <w:szCs w:val="21"/>
          <w:highlight w:val="none"/>
        </w:rPr>
        <w:t>核实价的确定：磋商小组对各供应商的最终报价按下述原则进行校核、评审或作出必要的修正后的价格为评审价，如果出现多种处理原则所产生的结果不一致的情况，以最高的修正价作为评审价。</w:t>
      </w:r>
    </w:p>
    <w:p>
      <w:pPr>
        <w:numPr>
          <w:ilvl w:val="2"/>
          <w:numId w:val="17"/>
        </w:numPr>
        <w:tabs>
          <w:tab w:val="left" w:pos="720"/>
        </w:tabs>
        <w:spacing w:line="360" w:lineRule="auto"/>
        <w:ind w:left="0" w:firstLine="360"/>
        <w:jc w:val="both"/>
        <w:rPr>
          <w:rFonts w:ascii="宋体" w:hAnsi="宋体"/>
          <w:color w:val="auto"/>
          <w:szCs w:val="21"/>
          <w:highlight w:val="none"/>
        </w:rPr>
      </w:pPr>
      <w:r>
        <w:rPr>
          <w:rFonts w:hint="eastAsia" w:ascii="宋体" w:hAnsi="宋体"/>
          <w:color w:val="auto"/>
          <w:szCs w:val="21"/>
          <w:highlight w:val="none"/>
        </w:rPr>
        <w:t>报价的错误修正原则</w:t>
      </w:r>
    </w:p>
    <w:p>
      <w:pPr>
        <w:tabs>
          <w:tab w:val="left" w:pos="720"/>
        </w:tabs>
        <w:spacing w:line="360" w:lineRule="auto"/>
        <w:ind w:left="360"/>
        <w:jc w:val="both"/>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）大写金额与小写金额不一致的，以大写金额为准；</w:t>
      </w:r>
    </w:p>
    <w:p>
      <w:pPr>
        <w:tabs>
          <w:tab w:val="left" w:pos="720"/>
        </w:tabs>
        <w:spacing w:line="360" w:lineRule="auto"/>
        <w:ind w:left="360"/>
        <w:jc w:val="both"/>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）总价金额与按单价汇总金额不一致的，以单价金额计算结果为准；</w:t>
      </w:r>
    </w:p>
    <w:p>
      <w:pPr>
        <w:tabs>
          <w:tab w:val="left" w:pos="720"/>
        </w:tabs>
        <w:spacing w:line="360" w:lineRule="auto"/>
        <w:ind w:left="360"/>
        <w:jc w:val="both"/>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）单价金额小数点有明显错位的，应以总价为准，并修改单价；</w:t>
      </w:r>
    </w:p>
    <w:p>
      <w:pPr>
        <w:tabs>
          <w:tab w:val="left" w:pos="720"/>
        </w:tabs>
        <w:spacing w:line="360" w:lineRule="auto"/>
        <w:ind w:left="360"/>
        <w:jc w:val="both"/>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）同时出现上述两种以上不一致的，按照前款规定的顺序修正。修正后的价格作为评审价。</w:t>
      </w:r>
    </w:p>
    <w:p>
      <w:pPr>
        <w:numPr>
          <w:ilvl w:val="2"/>
          <w:numId w:val="17"/>
        </w:numPr>
        <w:tabs>
          <w:tab w:val="left" w:pos="720"/>
        </w:tabs>
        <w:spacing w:line="360" w:lineRule="auto"/>
        <w:ind w:left="0" w:firstLine="360"/>
        <w:jc w:val="both"/>
        <w:rPr>
          <w:rFonts w:ascii="宋体" w:hAnsi="宋体"/>
          <w:color w:val="auto"/>
          <w:szCs w:val="21"/>
          <w:highlight w:val="none"/>
        </w:rPr>
      </w:pPr>
      <w:r>
        <w:rPr>
          <w:rFonts w:hint="eastAsia" w:ascii="宋体" w:hAnsi="宋体"/>
          <w:color w:val="auto"/>
          <w:szCs w:val="21"/>
          <w:highlight w:val="none"/>
        </w:rPr>
        <w:t>价格评分：</w:t>
      </w:r>
    </w:p>
    <w:p>
      <w:pPr>
        <w:tabs>
          <w:tab w:val="left" w:pos="720"/>
        </w:tabs>
        <w:spacing w:line="360" w:lineRule="auto"/>
        <w:ind w:firstLine="420" w:firstLineChars="200"/>
        <w:jc w:val="both"/>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评审价的确定：按上述条款的原则校核修正后的价格为评审价。</w:t>
      </w:r>
    </w:p>
    <w:p>
      <w:pPr>
        <w:tabs>
          <w:tab w:val="left" w:pos="720"/>
        </w:tabs>
        <w:spacing w:line="360" w:lineRule="auto"/>
        <w:ind w:firstLine="420" w:firstLineChars="200"/>
        <w:jc w:val="both"/>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计算价格评分：价格评审满分</w:t>
      </w:r>
      <w:r>
        <w:rPr>
          <w:rFonts w:hint="eastAsia" w:ascii="宋体" w:hAnsi="宋体"/>
          <w:color w:val="auto"/>
          <w:szCs w:val="21"/>
          <w:highlight w:val="none"/>
          <w:lang w:val="en-US" w:eastAsia="zh-CN"/>
        </w:rPr>
        <w:t>20</w:t>
      </w:r>
      <w:r>
        <w:rPr>
          <w:rFonts w:hint="eastAsia" w:ascii="宋体" w:hAnsi="宋体"/>
          <w:color w:val="auto"/>
          <w:szCs w:val="21"/>
          <w:highlight w:val="none"/>
        </w:rPr>
        <w:t>分，各有效响应供应商的价格得分统一按照下列公式计算(按四舍五入原则精确到小数点后两位)：</w:t>
      </w:r>
    </w:p>
    <w:p>
      <w:pPr>
        <w:tabs>
          <w:tab w:val="left" w:pos="720"/>
        </w:tabs>
        <w:spacing w:line="360" w:lineRule="auto"/>
        <w:ind w:firstLine="422" w:firstLineChars="200"/>
        <w:jc w:val="both"/>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评审基准价：如有效供应商大于等于5家，则取所有有效供应商报价中去掉一个最高价和</w:t>
      </w:r>
      <w:r>
        <w:rPr>
          <w:rFonts w:hint="eastAsia" w:ascii="宋体" w:hAnsi="宋体" w:eastAsia="宋体" w:cs="Times New Roman"/>
          <w:b/>
          <w:bCs/>
          <w:color w:val="auto"/>
          <w:szCs w:val="21"/>
          <w:highlight w:val="none"/>
          <w:lang w:val="en-US" w:eastAsia="zh-CN"/>
        </w:rPr>
        <w:t>去</w:t>
      </w:r>
      <w:r>
        <w:rPr>
          <w:rFonts w:hint="eastAsia" w:ascii="宋体" w:hAnsi="宋体" w:eastAsia="宋体" w:cs="Times New Roman"/>
          <w:b/>
          <w:bCs/>
          <w:color w:val="auto"/>
          <w:szCs w:val="21"/>
          <w:highlight w:val="none"/>
        </w:rPr>
        <w:t>掉一个最低价后的算术平均值为评审基准价；如有效供应商少有5家，则取所有有效供应商报价的算术平均值为评审基准价</w:t>
      </w:r>
    </w:p>
    <w:p>
      <w:pPr>
        <w:tabs>
          <w:tab w:val="left" w:pos="720"/>
        </w:tabs>
        <w:spacing w:line="360" w:lineRule="auto"/>
        <w:jc w:val="both"/>
        <w:rPr>
          <w:rFonts w:hint="eastAsia" w:ascii="宋体" w:hAnsi="宋体"/>
          <w:b/>
          <w:color w:val="auto"/>
          <w:szCs w:val="21"/>
          <w:highlight w:val="none"/>
          <w:lang w:val="en-US" w:eastAsia="zh-CN"/>
        </w:rPr>
      </w:pPr>
      <w:r>
        <w:rPr>
          <w:rFonts w:hint="eastAsia" w:ascii="宋体" w:hAnsi="宋体"/>
          <w:b/>
          <w:color w:val="auto"/>
          <w:szCs w:val="21"/>
          <w:highlight w:val="none"/>
        </w:rPr>
        <w:tab/>
      </w:r>
      <w:r>
        <w:rPr>
          <w:rFonts w:hint="eastAsia" w:ascii="宋体" w:hAnsi="宋体"/>
          <w:b/>
          <w:color w:val="auto"/>
          <w:szCs w:val="21"/>
          <w:highlight w:val="none"/>
        </w:rPr>
        <w:t>价格得分＝（评审基准价÷供应商的价评审价）×</w:t>
      </w:r>
      <w:r>
        <w:rPr>
          <w:rFonts w:hint="eastAsia" w:ascii="宋体" w:hAnsi="宋体"/>
          <w:b/>
          <w:color w:val="auto"/>
          <w:szCs w:val="21"/>
          <w:highlight w:val="none"/>
          <w:lang w:val="en-US" w:eastAsia="zh-CN"/>
        </w:rPr>
        <w:t>20</w:t>
      </w:r>
    </w:p>
    <w:p>
      <w:pPr>
        <w:pStyle w:val="2"/>
        <w:rPr>
          <w:color w:val="auto"/>
          <w:highlight w:val="none"/>
        </w:rPr>
      </w:pPr>
    </w:p>
    <w:p>
      <w:pPr>
        <w:numPr>
          <w:ilvl w:val="1"/>
          <w:numId w:val="11"/>
        </w:numPr>
        <w:spacing w:line="360" w:lineRule="auto"/>
        <w:rPr>
          <w:rFonts w:ascii="宋体" w:hAnsi="宋体"/>
          <w:b/>
          <w:color w:val="auto"/>
          <w:szCs w:val="21"/>
          <w:highlight w:val="none"/>
        </w:rPr>
      </w:pPr>
      <w:r>
        <w:rPr>
          <w:rFonts w:hint="eastAsia" w:ascii="宋体" w:hAnsi="宋体"/>
          <w:b/>
          <w:color w:val="auto"/>
          <w:szCs w:val="21"/>
          <w:highlight w:val="none"/>
        </w:rPr>
        <w:t>综合得分的计算和成交供应商推荐</w:t>
      </w:r>
    </w:p>
    <w:p>
      <w:pPr>
        <w:numPr>
          <w:ilvl w:val="2"/>
          <w:numId w:val="18"/>
        </w:numPr>
        <w:tabs>
          <w:tab w:val="left" w:pos="720"/>
        </w:tabs>
        <w:spacing w:line="360" w:lineRule="auto"/>
        <w:ind w:left="0" w:firstLine="360"/>
        <w:jc w:val="both"/>
        <w:rPr>
          <w:rFonts w:ascii="宋体" w:hAnsi="宋体"/>
          <w:color w:val="auto"/>
          <w:szCs w:val="21"/>
          <w:highlight w:val="none"/>
        </w:rPr>
      </w:pPr>
      <w:r>
        <w:rPr>
          <w:rFonts w:hint="eastAsia" w:ascii="宋体" w:hAnsi="宋体"/>
          <w:color w:val="auto"/>
          <w:szCs w:val="21"/>
          <w:highlight w:val="none"/>
        </w:rPr>
        <w:t>综合得分</w:t>
      </w:r>
      <w:r>
        <w:rPr>
          <w:rFonts w:ascii="宋体" w:hAnsi="宋体"/>
          <w:color w:val="auto"/>
          <w:szCs w:val="21"/>
          <w:highlight w:val="none"/>
        </w:rPr>
        <w:t>=</w:t>
      </w:r>
      <w:r>
        <w:rPr>
          <w:rFonts w:hint="eastAsia" w:ascii="宋体" w:hAnsi="宋体"/>
          <w:color w:val="auto"/>
          <w:szCs w:val="21"/>
          <w:highlight w:val="none"/>
        </w:rPr>
        <w:t>商务得分+技术得分+价格得分。</w:t>
      </w:r>
    </w:p>
    <w:p>
      <w:pPr>
        <w:numPr>
          <w:ilvl w:val="2"/>
          <w:numId w:val="18"/>
        </w:numPr>
        <w:tabs>
          <w:tab w:val="left" w:pos="720"/>
        </w:tabs>
        <w:spacing w:line="360" w:lineRule="auto"/>
        <w:ind w:left="0" w:firstLine="360"/>
        <w:jc w:val="both"/>
        <w:rPr>
          <w:rFonts w:hint="eastAsia" w:ascii="宋体" w:hAnsi="宋体"/>
          <w:color w:val="auto"/>
          <w:szCs w:val="21"/>
          <w:highlight w:val="none"/>
        </w:rPr>
      </w:pPr>
      <w:r>
        <w:rPr>
          <w:rFonts w:hint="eastAsia" w:ascii="宋体" w:hAnsi="宋体"/>
          <w:color w:val="auto"/>
          <w:szCs w:val="21"/>
          <w:highlight w:val="none"/>
        </w:rPr>
        <w:t>综合得分按四舍五入原则精确到小数点后两位。将综合得分由高到低顺序排列。综合得分相同的，按最终报价由低到高顺序排列；综合得分相同，且最终报价相同的，按技术得分由高到低顺序排列。</w:t>
      </w:r>
      <w:r>
        <w:rPr>
          <w:rFonts w:hint="eastAsia"/>
          <w:color w:val="auto"/>
          <w:highlight w:val="none"/>
        </w:rPr>
        <w:t>综合</w:t>
      </w:r>
      <w:r>
        <w:rPr>
          <w:rFonts w:hint="eastAsia" w:ascii="宋体" w:hAnsi="宋体"/>
          <w:color w:val="auto"/>
          <w:szCs w:val="21"/>
          <w:highlight w:val="none"/>
        </w:rPr>
        <w:t>得分</w:t>
      </w:r>
      <w:r>
        <w:rPr>
          <w:rFonts w:hint="eastAsia"/>
          <w:color w:val="auto"/>
          <w:highlight w:val="none"/>
        </w:rPr>
        <w:t>相同，且</w:t>
      </w:r>
      <w:r>
        <w:rPr>
          <w:rFonts w:hint="eastAsia" w:ascii="宋体" w:hAnsi="宋体"/>
          <w:color w:val="auto"/>
          <w:szCs w:val="21"/>
          <w:highlight w:val="none"/>
        </w:rPr>
        <w:t>最终报价</w:t>
      </w:r>
      <w:r>
        <w:rPr>
          <w:rFonts w:hint="eastAsia"/>
          <w:color w:val="auto"/>
          <w:highlight w:val="none"/>
        </w:rPr>
        <w:t>和</w:t>
      </w:r>
      <w:r>
        <w:rPr>
          <w:rFonts w:hint="eastAsia" w:ascii="宋体" w:hAnsi="宋体"/>
          <w:color w:val="auto"/>
          <w:szCs w:val="21"/>
          <w:highlight w:val="none"/>
        </w:rPr>
        <w:t>技术得分</w:t>
      </w:r>
      <w:r>
        <w:rPr>
          <w:rFonts w:hint="eastAsia"/>
          <w:color w:val="auto"/>
          <w:highlight w:val="none"/>
        </w:rPr>
        <w:t>均相同的，名次由评委会抽签决定。</w:t>
      </w:r>
    </w:p>
    <w:p>
      <w:pPr>
        <w:numPr>
          <w:ilvl w:val="2"/>
          <w:numId w:val="18"/>
        </w:numPr>
        <w:tabs>
          <w:tab w:val="left" w:pos="720"/>
        </w:tabs>
        <w:spacing w:line="360" w:lineRule="auto"/>
        <w:ind w:left="0" w:firstLine="360"/>
        <w:jc w:val="both"/>
        <w:rPr>
          <w:rFonts w:hint="eastAsia" w:ascii="宋体" w:hAnsi="宋体"/>
          <w:b/>
          <w:color w:val="auto"/>
          <w:szCs w:val="21"/>
          <w:highlight w:val="none"/>
        </w:rPr>
      </w:pPr>
      <w:r>
        <w:rPr>
          <w:rFonts w:hint="eastAsia" w:ascii="宋体" w:hAnsi="宋体"/>
          <w:color w:val="auto"/>
          <w:szCs w:val="21"/>
          <w:highlight w:val="none"/>
        </w:rPr>
        <w:t>推荐成交候选人名单：评标委员会按上述排列向采购人推荐综合</w:t>
      </w:r>
      <w:r>
        <w:rPr>
          <w:rFonts w:hint="eastAsia" w:ascii="宋体" w:hAnsi="宋体"/>
          <w:b/>
          <w:color w:val="auto"/>
          <w:szCs w:val="21"/>
          <w:highlight w:val="none"/>
        </w:rPr>
        <w:t>得分从高至低推荐三名成交候选人。综合得分排名第一的报价供应商为第一成交候选人，排名第二的报价供应商为第二成交候选人，其余依次替补。在采购过程中符合要求的供应商只有二家的，推荐二名成交候选人。</w:t>
      </w:r>
    </w:p>
    <w:p>
      <w:pPr>
        <w:pStyle w:val="10"/>
        <w:spacing w:line="360" w:lineRule="auto"/>
        <w:rPr>
          <w:rFonts w:ascii="宋体" w:hAnsi="宋体"/>
          <w:color w:val="auto"/>
          <w:szCs w:val="21"/>
          <w:highlight w:val="none"/>
        </w:rPr>
      </w:pPr>
    </w:p>
    <w:p>
      <w:pPr>
        <w:widowControl w:val="0"/>
        <w:numPr>
          <w:ilvl w:val="0"/>
          <w:numId w:val="8"/>
        </w:numPr>
        <w:spacing w:line="360" w:lineRule="auto"/>
        <w:ind w:left="567" w:hanging="27"/>
        <w:outlineLvl w:val="1"/>
        <w:rPr>
          <w:rFonts w:ascii="宋体" w:hAnsi="宋体"/>
          <w:b/>
          <w:color w:val="auto"/>
          <w:szCs w:val="21"/>
          <w:highlight w:val="none"/>
        </w:rPr>
      </w:pPr>
      <w:bookmarkStart w:id="295" w:name="_Toc504694778"/>
      <w:bookmarkStart w:id="296" w:name="_Toc479157978"/>
      <w:bookmarkStart w:id="297" w:name="_Toc5517"/>
      <w:bookmarkStart w:id="298" w:name="_Toc504688287"/>
      <w:bookmarkStart w:id="299" w:name="_Toc504694666"/>
      <w:bookmarkStart w:id="300" w:name="_Toc509391680"/>
      <w:bookmarkStart w:id="301" w:name="_Toc14278"/>
      <w:bookmarkStart w:id="302" w:name="_Toc479157861"/>
      <w:r>
        <w:rPr>
          <w:rFonts w:hint="eastAsia" w:ascii="宋体" w:hAnsi="宋体"/>
          <w:b/>
          <w:color w:val="auto"/>
          <w:szCs w:val="21"/>
          <w:highlight w:val="none"/>
        </w:rPr>
        <w:t>终止竞争性磋商采购活动的情形</w:t>
      </w:r>
      <w:bookmarkEnd w:id="295"/>
      <w:bookmarkEnd w:id="296"/>
      <w:bookmarkEnd w:id="297"/>
      <w:bookmarkEnd w:id="298"/>
      <w:bookmarkEnd w:id="299"/>
      <w:bookmarkEnd w:id="300"/>
      <w:bookmarkEnd w:id="301"/>
      <w:bookmarkEnd w:id="302"/>
    </w:p>
    <w:p>
      <w:pPr>
        <w:tabs>
          <w:tab w:val="left" w:pos="720"/>
        </w:tabs>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下列情况出现将终止竞争性磋商采购活动：</w:t>
      </w:r>
    </w:p>
    <w:p>
      <w:pPr>
        <w:tabs>
          <w:tab w:val="left" w:pos="720"/>
        </w:tabs>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(一)因情况变化，不再符合规定的竞争性磋商采购方式适用情形的；</w:t>
      </w:r>
    </w:p>
    <w:p>
      <w:pPr>
        <w:tabs>
          <w:tab w:val="left" w:pos="720"/>
        </w:tabs>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(二)出现影响采购公正的违法、违规行为的；</w:t>
      </w:r>
    </w:p>
    <w:p>
      <w:pPr>
        <w:tabs>
          <w:tab w:val="left" w:pos="720"/>
        </w:tabs>
        <w:spacing w:line="360" w:lineRule="auto"/>
        <w:ind w:firstLine="420" w:firstLineChars="200"/>
        <w:jc w:val="both"/>
        <w:rPr>
          <w:rFonts w:hint="eastAsia" w:ascii="宋体" w:hAnsi="宋体" w:cs="宋体"/>
          <w:color w:val="auto"/>
          <w:szCs w:val="21"/>
          <w:highlight w:val="none"/>
        </w:rPr>
      </w:pPr>
      <w:r>
        <w:rPr>
          <w:rFonts w:hint="eastAsia" w:ascii="宋体" w:hAnsi="宋体"/>
          <w:color w:val="auto"/>
          <w:szCs w:val="21"/>
          <w:highlight w:val="none"/>
        </w:rPr>
        <w:t>（三）在采购过程中符合要求的供应商或者报价未超过采购预算的供应商不足2家的</w:t>
      </w:r>
      <w:r>
        <w:rPr>
          <w:rFonts w:hint="eastAsia" w:ascii="宋体" w:hAnsi="宋体" w:cs="宋体"/>
          <w:color w:val="auto"/>
          <w:szCs w:val="21"/>
          <w:highlight w:val="none"/>
        </w:rPr>
        <w:t>。</w:t>
      </w:r>
    </w:p>
    <w:p>
      <w:pPr>
        <w:pStyle w:val="10"/>
        <w:spacing w:line="360" w:lineRule="auto"/>
        <w:ind w:firstLine="0"/>
        <w:rPr>
          <w:rFonts w:ascii="宋体" w:hAnsi="宋体"/>
          <w:color w:val="auto"/>
          <w:szCs w:val="21"/>
          <w:highlight w:val="none"/>
        </w:rPr>
      </w:pPr>
    </w:p>
    <w:bookmarkEnd w:id="265"/>
    <w:bookmarkEnd w:id="266"/>
    <w:bookmarkEnd w:id="267"/>
    <w:p>
      <w:pPr>
        <w:widowControl w:val="0"/>
        <w:numPr>
          <w:ilvl w:val="0"/>
          <w:numId w:val="8"/>
        </w:numPr>
        <w:spacing w:line="360" w:lineRule="auto"/>
        <w:ind w:left="567" w:hanging="27"/>
        <w:outlineLvl w:val="1"/>
        <w:rPr>
          <w:rFonts w:ascii="宋体" w:hAnsi="宋体"/>
          <w:b/>
          <w:color w:val="auto"/>
          <w:szCs w:val="21"/>
          <w:highlight w:val="none"/>
        </w:rPr>
      </w:pPr>
      <w:bookmarkStart w:id="303" w:name="_Toc42394514"/>
      <w:bookmarkStart w:id="304" w:name="_Toc101771378"/>
      <w:bookmarkStart w:id="305" w:name="_Toc41884703"/>
      <w:bookmarkStart w:id="306" w:name="_Toc1097"/>
      <w:bookmarkStart w:id="307" w:name="_Toc504694667"/>
      <w:bookmarkStart w:id="308" w:name="_Toc504694779"/>
      <w:bookmarkStart w:id="309" w:name="_Toc101775131"/>
      <w:bookmarkStart w:id="310" w:name="_Toc42313169"/>
      <w:bookmarkStart w:id="311" w:name="_Toc479157862"/>
      <w:bookmarkStart w:id="312" w:name="_Toc504688288"/>
      <w:bookmarkStart w:id="313" w:name="_Toc98579607"/>
      <w:bookmarkStart w:id="314" w:name="_Toc98579066"/>
      <w:bookmarkStart w:id="315" w:name="_Toc42394670"/>
      <w:bookmarkStart w:id="316" w:name="_Toc509392327"/>
      <w:bookmarkStart w:id="317" w:name="_Toc101951269"/>
      <w:bookmarkStart w:id="318" w:name="_Toc98579008"/>
      <w:bookmarkStart w:id="319" w:name="_Toc101843131"/>
      <w:bookmarkStart w:id="320" w:name="_Toc98580290"/>
      <w:bookmarkStart w:id="321" w:name="_Toc41723933"/>
      <w:bookmarkStart w:id="322" w:name="_Toc2074425"/>
      <w:bookmarkStart w:id="323" w:name="_Toc14313"/>
      <w:bookmarkStart w:id="324" w:name="_Toc50276154"/>
      <w:bookmarkStart w:id="325" w:name="_Toc479157982"/>
      <w:bookmarkStart w:id="326" w:name="_Toc12519"/>
      <w:r>
        <w:rPr>
          <w:rFonts w:hint="eastAsia" w:ascii="宋体" w:hAnsi="宋体"/>
          <w:b/>
          <w:color w:val="auto"/>
          <w:szCs w:val="21"/>
          <w:highlight w:val="none"/>
        </w:rPr>
        <w:t>定标</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numPr>
          <w:ilvl w:val="0"/>
          <w:numId w:val="19"/>
        </w:numPr>
        <w:spacing w:line="360" w:lineRule="auto"/>
        <w:ind w:left="0" w:firstLine="420" w:firstLineChars="200"/>
        <w:jc w:val="both"/>
        <w:rPr>
          <w:rFonts w:ascii="宋体" w:hAnsi="宋体"/>
          <w:color w:val="auto"/>
          <w:szCs w:val="21"/>
          <w:highlight w:val="none"/>
        </w:rPr>
      </w:pPr>
      <w:bookmarkStart w:id="327" w:name="_Toc479157983"/>
      <w:r>
        <w:rPr>
          <w:rFonts w:hint="eastAsia" w:ascii="宋体" w:hAnsi="宋体"/>
          <w:color w:val="auto"/>
          <w:szCs w:val="21"/>
          <w:highlight w:val="none"/>
        </w:rPr>
        <w:t>计分结束后，磋商小组将综合得分由高到低的排名顺序推荐前三名供应商为成交候选供应商。由采购代理机构负责整理《评审报告》</w:t>
      </w:r>
      <w:r>
        <w:rPr>
          <w:rFonts w:ascii="宋体" w:hAnsi="宋体"/>
          <w:color w:val="auto"/>
          <w:szCs w:val="21"/>
          <w:highlight w:val="none"/>
        </w:rPr>
        <w:t>,</w:t>
      </w:r>
      <w:r>
        <w:rPr>
          <w:rFonts w:hint="eastAsia" w:ascii="宋体" w:hAnsi="宋体"/>
          <w:color w:val="auto"/>
          <w:szCs w:val="21"/>
          <w:highlight w:val="none"/>
        </w:rPr>
        <w:t>全体评委审核《评审报告》并签字确认。</w:t>
      </w:r>
      <w:bookmarkEnd w:id="327"/>
    </w:p>
    <w:p>
      <w:pPr>
        <w:numPr>
          <w:ilvl w:val="0"/>
          <w:numId w:val="19"/>
        </w:numPr>
        <w:spacing w:line="360" w:lineRule="auto"/>
        <w:ind w:left="0" w:firstLine="420" w:firstLineChars="200"/>
        <w:jc w:val="both"/>
        <w:rPr>
          <w:rFonts w:ascii="宋体" w:hAnsi="宋体"/>
          <w:color w:val="auto"/>
          <w:szCs w:val="21"/>
          <w:highlight w:val="none"/>
        </w:rPr>
      </w:pPr>
      <w:bookmarkStart w:id="328" w:name="_Toc479157984"/>
      <w:r>
        <w:rPr>
          <w:rFonts w:hint="eastAsia" w:ascii="宋体" w:hAnsi="宋体"/>
          <w:color w:val="auto"/>
          <w:szCs w:val="21"/>
          <w:highlight w:val="none"/>
        </w:rPr>
        <w:t>采购人根据磋商小组的推荐意见和有关法规确定成交供应商。</w:t>
      </w:r>
      <w:bookmarkEnd w:id="328"/>
    </w:p>
    <w:p>
      <w:pPr>
        <w:numPr>
          <w:ilvl w:val="0"/>
          <w:numId w:val="19"/>
        </w:numPr>
        <w:spacing w:line="360" w:lineRule="auto"/>
        <w:ind w:left="0" w:firstLine="420" w:firstLineChars="200"/>
        <w:jc w:val="both"/>
        <w:rPr>
          <w:rFonts w:ascii="宋体" w:hAnsi="宋体"/>
          <w:color w:val="auto"/>
          <w:szCs w:val="21"/>
          <w:highlight w:val="none"/>
        </w:rPr>
      </w:pPr>
      <w:bookmarkStart w:id="329" w:name="_Toc479157985"/>
      <w:r>
        <w:rPr>
          <w:rFonts w:hint="eastAsia" w:ascii="宋体" w:hAnsi="宋体"/>
          <w:color w:val="auto"/>
          <w:szCs w:val="21"/>
          <w:highlight w:val="none"/>
        </w:rPr>
        <w:t>凡发现成交供应商有下列行为之一的，将有关主管部门依法处理：</w:t>
      </w:r>
      <w:bookmarkEnd w:id="329"/>
    </w:p>
    <w:p>
      <w:pPr>
        <w:numPr>
          <w:ilvl w:val="2"/>
          <w:numId w:val="20"/>
        </w:numPr>
        <w:tabs>
          <w:tab w:val="left" w:pos="720"/>
        </w:tabs>
        <w:spacing w:line="360" w:lineRule="auto"/>
        <w:ind w:hanging="851"/>
        <w:jc w:val="both"/>
        <w:rPr>
          <w:rFonts w:ascii="宋体" w:hAnsi="宋体"/>
          <w:color w:val="auto"/>
          <w:szCs w:val="21"/>
          <w:highlight w:val="none"/>
        </w:rPr>
      </w:pPr>
      <w:r>
        <w:rPr>
          <w:rFonts w:hint="eastAsia" w:ascii="宋体" w:hAnsi="宋体" w:cs="宋体"/>
          <w:color w:val="auto"/>
          <w:szCs w:val="21"/>
          <w:highlight w:val="none"/>
        </w:rPr>
        <w:t>提供虚假材料谋取成交的</w:t>
      </w:r>
      <w:r>
        <w:rPr>
          <w:rFonts w:hint="eastAsia" w:ascii="宋体" w:hAnsi="宋体"/>
          <w:color w:val="auto"/>
          <w:szCs w:val="21"/>
          <w:highlight w:val="none"/>
        </w:rPr>
        <w:t>；</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采取不正当手段诋毁、排挤其他供应商的；</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与采购人、其他供应商或者采购代理机构工作人员恶意串通的；</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向采购人、采购代理机构工作人员行贿或者提供其他不正当利益的；</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在采购过程中与采购人进行协商谈判的；</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拒绝有关部门监督检查或者提供虚假情况的；</w:t>
      </w:r>
    </w:p>
    <w:p>
      <w:pPr>
        <w:numPr>
          <w:ilvl w:val="2"/>
          <w:numId w:val="20"/>
        </w:numPr>
        <w:tabs>
          <w:tab w:val="left" w:pos="720"/>
        </w:tabs>
        <w:spacing w:line="360" w:lineRule="auto"/>
        <w:ind w:hanging="851"/>
        <w:jc w:val="both"/>
        <w:rPr>
          <w:rFonts w:ascii="宋体" w:hAnsi="宋体" w:cs="宋体"/>
          <w:color w:val="auto"/>
          <w:szCs w:val="21"/>
          <w:highlight w:val="none"/>
        </w:rPr>
      </w:pPr>
      <w:r>
        <w:rPr>
          <w:rFonts w:hint="eastAsia" w:ascii="宋体" w:hAnsi="宋体" w:cs="宋体"/>
          <w:color w:val="auto"/>
          <w:szCs w:val="21"/>
          <w:highlight w:val="none"/>
        </w:rPr>
        <w:t>有法律、法规规定的其他损害采购人利益和社会公共利益情形的。</w:t>
      </w:r>
    </w:p>
    <w:p>
      <w:pPr>
        <w:numPr>
          <w:ilvl w:val="0"/>
          <w:numId w:val="19"/>
        </w:numPr>
        <w:spacing w:line="360" w:lineRule="auto"/>
        <w:ind w:left="0" w:firstLine="420" w:firstLineChars="200"/>
        <w:jc w:val="both"/>
        <w:rPr>
          <w:rFonts w:ascii="宋体" w:hAnsi="宋体"/>
          <w:color w:val="auto"/>
          <w:szCs w:val="21"/>
          <w:highlight w:val="none"/>
        </w:rPr>
      </w:pPr>
      <w:bookmarkStart w:id="330" w:name="_Toc479157986"/>
      <w:r>
        <w:rPr>
          <w:rFonts w:hint="eastAsia" w:ascii="宋体" w:hAnsi="宋体"/>
          <w:color w:val="auto"/>
          <w:szCs w:val="21"/>
          <w:highlight w:val="none"/>
        </w:rPr>
        <w:t>成交候选供应商</w:t>
      </w:r>
      <w:r>
        <w:rPr>
          <w:rFonts w:hint="eastAsia" w:ascii="宋体"/>
          <w:color w:val="auto"/>
          <w:szCs w:val="21"/>
          <w:highlight w:val="none"/>
        </w:rPr>
        <w:t>放弃或被取消资格的，采购人可顺序选择</w:t>
      </w:r>
      <w:r>
        <w:rPr>
          <w:rFonts w:hint="eastAsia" w:ascii="宋体" w:hAnsi="宋体"/>
          <w:color w:val="auto"/>
          <w:szCs w:val="21"/>
          <w:highlight w:val="none"/>
        </w:rPr>
        <w:t>候</w:t>
      </w:r>
      <w:r>
        <w:rPr>
          <w:rFonts w:hint="eastAsia" w:ascii="宋体"/>
          <w:color w:val="auto"/>
          <w:szCs w:val="21"/>
          <w:highlight w:val="none"/>
        </w:rPr>
        <w:t>补成交供应商。</w:t>
      </w:r>
      <w:bookmarkEnd w:id="330"/>
    </w:p>
    <w:p>
      <w:pPr>
        <w:numPr>
          <w:ilvl w:val="0"/>
          <w:numId w:val="19"/>
        </w:numPr>
        <w:spacing w:line="360" w:lineRule="auto"/>
        <w:ind w:left="0" w:firstLine="420" w:firstLineChars="200"/>
        <w:jc w:val="both"/>
        <w:rPr>
          <w:rFonts w:ascii="宋体" w:hAnsi="宋体"/>
          <w:color w:val="auto"/>
          <w:szCs w:val="21"/>
          <w:highlight w:val="none"/>
        </w:rPr>
      </w:pPr>
      <w:bookmarkStart w:id="331" w:name="_Toc479157987"/>
      <w:r>
        <w:rPr>
          <w:rFonts w:hint="eastAsia" w:ascii="宋体" w:hAnsi="宋体"/>
          <w:color w:val="auto"/>
          <w:szCs w:val="21"/>
          <w:highlight w:val="none"/>
        </w:rPr>
        <w:t>采购结果确认后，采购代理机构将成交结果在相关媒体进行公告。不在成交名单之列者即为落选人，采购代理机构不再以其它方式另行通知。</w:t>
      </w:r>
      <w:bookmarkEnd w:id="331"/>
    </w:p>
    <w:p>
      <w:pPr>
        <w:numPr>
          <w:ilvl w:val="0"/>
          <w:numId w:val="19"/>
        </w:numPr>
        <w:spacing w:line="360" w:lineRule="auto"/>
        <w:ind w:left="0" w:firstLine="420" w:firstLineChars="200"/>
        <w:jc w:val="both"/>
        <w:rPr>
          <w:rFonts w:ascii="宋体" w:hAnsi="宋体"/>
          <w:color w:val="auto"/>
          <w:szCs w:val="21"/>
          <w:highlight w:val="none"/>
        </w:rPr>
      </w:pPr>
      <w:bookmarkStart w:id="332" w:name="_Toc479157988"/>
      <w:r>
        <w:rPr>
          <w:rFonts w:hint="eastAsia" w:ascii="宋体" w:hAnsi="宋体"/>
          <w:color w:val="auto"/>
          <w:szCs w:val="21"/>
          <w:highlight w:val="none"/>
        </w:rPr>
        <w:t>成交结果公告后，采购代理机构以书面形式向成交供应商发出通知。</w:t>
      </w:r>
      <w:bookmarkEnd w:id="332"/>
    </w:p>
    <w:p>
      <w:pPr>
        <w:numPr>
          <w:ilvl w:val="0"/>
          <w:numId w:val="19"/>
        </w:numPr>
        <w:spacing w:line="360" w:lineRule="auto"/>
        <w:ind w:left="0" w:firstLine="420" w:firstLineChars="200"/>
        <w:jc w:val="both"/>
        <w:rPr>
          <w:rFonts w:ascii="宋体" w:hAnsi="宋体"/>
          <w:color w:val="auto"/>
          <w:szCs w:val="21"/>
          <w:highlight w:val="none"/>
        </w:rPr>
      </w:pPr>
      <w:bookmarkStart w:id="333" w:name="_Toc479157989"/>
      <w:r>
        <w:rPr>
          <w:rFonts w:hint="eastAsia" w:ascii="宋体" w:hAnsi="宋体"/>
          <w:color w:val="auto"/>
          <w:szCs w:val="21"/>
          <w:highlight w:val="none"/>
        </w:rPr>
        <w:t>成交供应商到采购代理机构领取《成交通知书》。《成交通知书》将作为授予合同资格的唯一合法依据。</w:t>
      </w:r>
      <w:bookmarkEnd w:id="333"/>
    </w:p>
    <w:p>
      <w:pPr>
        <w:numPr>
          <w:ilvl w:val="0"/>
          <w:numId w:val="19"/>
        </w:numPr>
        <w:spacing w:line="360" w:lineRule="auto"/>
        <w:ind w:left="0" w:firstLine="420" w:firstLineChars="200"/>
        <w:jc w:val="both"/>
        <w:rPr>
          <w:rFonts w:ascii="宋体" w:hAnsi="宋体"/>
          <w:color w:val="auto"/>
          <w:szCs w:val="21"/>
          <w:highlight w:val="none"/>
        </w:rPr>
      </w:pPr>
      <w:bookmarkStart w:id="334" w:name="_Toc479157990"/>
      <w:r>
        <w:rPr>
          <w:rFonts w:hint="eastAsia" w:ascii="宋体" w:hAnsi="宋体"/>
          <w:color w:val="auto"/>
          <w:szCs w:val="21"/>
          <w:highlight w:val="none"/>
        </w:rPr>
        <w:t>成交供应商放弃本项目的，应当依法承担法律责任。</w:t>
      </w:r>
      <w:bookmarkEnd w:id="334"/>
    </w:p>
    <w:p>
      <w:pPr>
        <w:widowControl w:val="0"/>
        <w:numPr>
          <w:ilvl w:val="0"/>
          <w:numId w:val="8"/>
        </w:numPr>
        <w:spacing w:line="360" w:lineRule="auto"/>
        <w:ind w:left="567" w:hanging="27"/>
        <w:outlineLvl w:val="1"/>
        <w:rPr>
          <w:rFonts w:ascii="宋体" w:hAnsi="宋体"/>
          <w:b/>
          <w:color w:val="auto"/>
          <w:szCs w:val="21"/>
          <w:highlight w:val="none"/>
        </w:rPr>
      </w:pPr>
      <w:bookmarkStart w:id="335" w:name="_Toc41723934"/>
      <w:bookmarkStart w:id="336" w:name="_Toc101775132"/>
      <w:bookmarkStart w:id="337" w:name="_Toc101843132"/>
      <w:bookmarkStart w:id="338" w:name="_Toc479157863"/>
      <w:bookmarkStart w:id="339" w:name="_Toc504688289"/>
      <w:bookmarkStart w:id="340" w:name="_Toc21402"/>
      <w:bookmarkStart w:id="341" w:name="_Toc98579067"/>
      <w:bookmarkStart w:id="342" w:name="_Toc98579009"/>
      <w:bookmarkStart w:id="343" w:name="_Toc2074426"/>
      <w:bookmarkStart w:id="344" w:name="_Toc98580291"/>
      <w:bookmarkStart w:id="345" w:name="_Toc504694668"/>
      <w:bookmarkStart w:id="346" w:name="_Toc32153"/>
      <w:bookmarkStart w:id="347" w:name="_Toc101771379"/>
      <w:bookmarkStart w:id="348" w:name="_Toc42313170"/>
      <w:bookmarkStart w:id="349" w:name="_Toc101951270"/>
      <w:bookmarkStart w:id="350" w:name="_Toc504694780"/>
      <w:bookmarkStart w:id="351" w:name="_Toc509392328"/>
      <w:bookmarkStart w:id="352" w:name="_Toc26859"/>
      <w:bookmarkStart w:id="353" w:name="_Toc42394671"/>
      <w:bookmarkStart w:id="354" w:name="_Toc50276155"/>
      <w:bookmarkStart w:id="355" w:name="_Toc479157991"/>
      <w:bookmarkStart w:id="356" w:name="_Toc42394515"/>
      <w:bookmarkStart w:id="357" w:name="_Toc98579608"/>
      <w:bookmarkStart w:id="358" w:name="_Toc41884704"/>
      <w:r>
        <w:rPr>
          <w:rFonts w:hint="eastAsia" w:ascii="宋体" w:hAnsi="宋体"/>
          <w:b/>
          <w:color w:val="auto"/>
          <w:szCs w:val="21"/>
          <w:highlight w:val="none"/>
        </w:rPr>
        <w:t>签约</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0"/>
          <w:numId w:val="21"/>
        </w:numPr>
        <w:spacing w:line="360" w:lineRule="auto"/>
        <w:ind w:left="0" w:firstLine="420" w:firstLineChars="200"/>
        <w:jc w:val="both"/>
        <w:rPr>
          <w:rFonts w:ascii="宋体" w:hAnsi="宋体"/>
          <w:color w:val="auto"/>
          <w:szCs w:val="21"/>
          <w:highlight w:val="none"/>
        </w:rPr>
      </w:pPr>
      <w:bookmarkStart w:id="359" w:name="_Toc479157992"/>
      <w:r>
        <w:rPr>
          <w:rFonts w:hint="eastAsia" w:ascii="宋体" w:hAnsi="宋体"/>
          <w:color w:val="auto"/>
          <w:szCs w:val="21"/>
          <w:highlight w:val="none"/>
        </w:rPr>
        <w:t>采购人应当自《成交通知书》发出之日起七个工作日内，按照采购文件和成交供应商响应文件的约定，与成交供应商签订书面合同。所签订的合同不得对采购文件和成交供应商响应文件作实质性修改。</w:t>
      </w:r>
      <w:bookmarkEnd w:id="359"/>
    </w:p>
    <w:p>
      <w:pPr>
        <w:numPr>
          <w:ilvl w:val="0"/>
          <w:numId w:val="21"/>
        </w:numPr>
        <w:spacing w:line="360" w:lineRule="auto"/>
        <w:ind w:left="0" w:firstLine="420" w:firstLineChars="200"/>
        <w:jc w:val="both"/>
        <w:rPr>
          <w:rFonts w:ascii="宋体" w:hAnsi="宋体"/>
          <w:color w:val="auto"/>
          <w:szCs w:val="21"/>
          <w:highlight w:val="none"/>
        </w:rPr>
      </w:pPr>
      <w:bookmarkStart w:id="360" w:name="_Toc479157993"/>
      <w:r>
        <w:rPr>
          <w:rFonts w:hint="eastAsia" w:ascii="宋体" w:hAnsi="宋体"/>
          <w:color w:val="auto"/>
          <w:szCs w:val="21"/>
          <w:highlight w:val="none"/>
        </w:rPr>
        <w:t>采购人不得向成交供应商提出任何不合理的要求，作为签订合同的条件，不得与成交供应商私下订立背离合同实质性内容的协议。</w:t>
      </w:r>
      <w:bookmarkEnd w:id="360"/>
    </w:p>
    <w:p>
      <w:pPr>
        <w:widowControl w:val="0"/>
        <w:spacing w:line="360" w:lineRule="auto"/>
        <w:outlineLvl w:val="1"/>
        <w:rPr>
          <w:rFonts w:hint="eastAsia" w:ascii="宋体" w:hAnsi="宋体"/>
          <w:b/>
          <w:color w:val="auto"/>
          <w:szCs w:val="21"/>
          <w:highlight w:val="none"/>
        </w:rPr>
      </w:pPr>
      <w:r>
        <w:rPr>
          <w:rFonts w:ascii="宋体" w:hAnsi="宋体"/>
          <w:color w:val="auto"/>
          <w:szCs w:val="21"/>
          <w:highlight w:val="none"/>
        </w:rPr>
        <w:br w:type="page"/>
      </w:r>
      <w:bookmarkStart w:id="361" w:name="_Toc15479"/>
      <w:bookmarkStart w:id="362" w:name="_Toc509392329"/>
      <w:bookmarkStart w:id="363" w:name="_Toc11177"/>
      <w:bookmarkStart w:id="364" w:name="_Toc2074427"/>
      <w:bookmarkStart w:id="365" w:name="_Toc6192"/>
      <w:r>
        <w:rPr>
          <w:rFonts w:hint="eastAsia" w:ascii="宋体" w:hAnsi="宋体"/>
          <w:b/>
          <w:color w:val="auto"/>
          <w:szCs w:val="21"/>
          <w:highlight w:val="none"/>
        </w:rPr>
        <w:t>附表一：商务评审表</w:t>
      </w:r>
      <w:bookmarkEnd w:id="361"/>
      <w:bookmarkEnd w:id="362"/>
      <w:bookmarkEnd w:id="363"/>
      <w:bookmarkEnd w:id="364"/>
      <w:bookmarkEnd w:id="365"/>
    </w:p>
    <w:p>
      <w:pPr>
        <w:spacing w:line="360" w:lineRule="auto"/>
        <w:jc w:val="center"/>
        <w:rPr>
          <w:rFonts w:hint="eastAsia"/>
          <w:b/>
          <w:color w:val="auto"/>
          <w:sz w:val="22"/>
          <w:highlight w:val="none"/>
        </w:rPr>
      </w:pPr>
      <w:r>
        <w:rPr>
          <w:rFonts w:hint="eastAsia"/>
          <w:b/>
          <w:color w:val="auto"/>
          <w:sz w:val="22"/>
          <w:highlight w:val="none"/>
        </w:rPr>
        <w:t>商务评审表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72"/>
        <w:gridCol w:w="701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评审内容</w:t>
            </w:r>
          </w:p>
        </w:tc>
        <w:tc>
          <w:tcPr>
            <w:tcW w:w="70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评分标准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1</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拟派出清拆队伍人员水平</w:t>
            </w:r>
          </w:p>
        </w:tc>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1、拟派出的项目负责人具有建筑工程专业二级注册建造师执业资格证书以及具有</w:t>
            </w:r>
            <w:r>
              <w:rPr>
                <w:rFonts w:hint="eastAsia" w:ascii="宋体" w:hAnsi="宋体" w:eastAsia="宋体" w:cs="宋体"/>
                <w:color w:val="auto"/>
                <w:sz w:val="21"/>
                <w:szCs w:val="21"/>
                <w:highlight w:val="none"/>
                <w:lang w:val="en-US" w:eastAsia="zh-CN"/>
              </w:rPr>
              <w:t>工程师中级以上职称的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不具有工程师中级以上职称的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分。以最高等级计分。</w:t>
            </w:r>
          </w:p>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2、拟派出的技术负责人具有工程类高级职称的得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分；具有建筑工程类中级职称的得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分。以最高等级计分。 </w:t>
            </w:r>
          </w:p>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、拟派人员中具有专职安全员（与项目负责人不是同一人）并持有</w:t>
            </w:r>
            <w:r>
              <w:rPr>
                <w:rFonts w:hint="eastAsia" w:ascii="宋体" w:hAnsi="宋体" w:eastAsia="宋体" w:cs="宋体"/>
                <w:color w:val="auto"/>
                <w:sz w:val="21"/>
                <w:szCs w:val="21"/>
                <w:highlight w:val="none"/>
                <w:lang w:val="en-US" w:eastAsia="zh-CN"/>
              </w:rPr>
              <w:t>注册安全工程师且持有</w:t>
            </w:r>
            <w:r>
              <w:rPr>
                <w:rFonts w:hint="eastAsia" w:ascii="宋体" w:hAnsi="宋体" w:eastAsia="宋体" w:cs="宋体"/>
                <w:color w:val="auto"/>
                <w:sz w:val="21"/>
                <w:szCs w:val="21"/>
                <w:highlight w:val="none"/>
              </w:rPr>
              <w:t>安全生产考核合格证（C类）或建筑施工企业专职安全生产管理人员安全生产考核合格证书（C3）的得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（注：提供上述人员相关证书材料及至响应截止时间前六个月任意一个月内在供应商单位名下缴纳社会保险凭据，不提供不得分。）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2</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企业认证情况</w:t>
            </w:r>
          </w:p>
        </w:tc>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具有有效的质量管理体系认证、环境管理体系认证、职业健康安全管理体系认证，每提供1个认证证书得2分，最高得6分。</w:t>
            </w:r>
          </w:p>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（注：同时提供有效期内的证书复印件以及在全国认证认可信息公共服务平台（http://cx.cnca.cn/）对体系证书的信息查询截图，未按上述要求提供证明材料或证书已失效或撤销或暂停的不得分。）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3</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类似业绩</w:t>
            </w:r>
          </w:p>
        </w:tc>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宋体" w:hAnsi="宋体" w:eastAsia="宋体" w:cs="宋体"/>
                <w:color w:val="auto"/>
                <w:sz w:val="21"/>
                <w:szCs w:val="21"/>
                <w:highlight w:val="none"/>
                <w:lang w:val="en-US" w:eastAsia="zh-CN"/>
              </w:rPr>
            </w:pPr>
            <w:bookmarkStart w:id="366" w:name="OLE_LINK10"/>
            <w:r>
              <w:rPr>
                <w:rFonts w:hint="eastAsia" w:ascii="宋体" w:hAnsi="宋体" w:eastAsia="宋体" w:cs="宋体"/>
                <w:color w:val="auto"/>
                <w:sz w:val="21"/>
                <w:szCs w:val="21"/>
                <w:highlight w:val="none"/>
                <w:lang w:val="en-US" w:eastAsia="zh-CN"/>
              </w:rPr>
              <w:t>供应商自2021年1月1日起（以验收报告时间为准），承接过市政类排污截污、排水工程类项目业绩，每提供一项业绩得3分，本项最高得9分。 注：须同时提供合同关键页（含签订合同双方的单位名称、合同项目名称、签订合同双方的落款盖章、签订日期的关键页）、验收报告或竣工报告复印件，并加盖报价人公章，提供资料不齐全不得分。</w:t>
            </w:r>
          </w:p>
          <w:bookmarkEnd w:id="366"/>
          <w:p>
            <w:pPr>
              <w:autoSpaceDE w:val="0"/>
              <w:autoSpaceDN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（注：提供合同复印件，不提供不得分。）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33" w:type="dxa"/>
            <w:gridSpan w:val="3"/>
            <w:tcBorders>
              <w:left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合计</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r>
    </w:tbl>
    <w:p>
      <w:pPr>
        <w:spacing w:line="360" w:lineRule="auto"/>
        <w:rPr>
          <w:rFonts w:hint="eastAsia" w:ascii="宋体" w:hAnsi="宋体"/>
          <w:b/>
          <w:color w:val="auto"/>
          <w:szCs w:val="21"/>
          <w:highlight w:val="none"/>
        </w:rPr>
      </w:pPr>
      <w:r>
        <w:rPr>
          <w:rFonts w:hint="eastAsia" w:ascii="宋体" w:hAnsi="宋体"/>
          <w:b/>
          <w:color w:val="auto"/>
          <w:szCs w:val="21"/>
          <w:highlight w:val="none"/>
        </w:rPr>
        <w:t>注：1、提交的证明材料须确保清晰可读，如内容模糊或字迹太小导致无法辨认的，视作未提供材料，评审时评委将不予认可。</w:t>
      </w:r>
    </w:p>
    <w:p>
      <w:pPr>
        <w:widowControl w:val="0"/>
        <w:spacing w:line="360" w:lineRule="auto"/>
        <w:outlineLvl w:val="1"/>
        <w:rPr>
          <w:rFonts w:hint="eastAsia" w:ascii="宋体" w:hAnsi="宋体"/>
          <w:b/>
          <w:color w:val="auto"/>
          <w:szCs w:val="21"/>
          <w:highlight w:val="none"/>
        </w:rPr>
      </w:pPr>
      <w:bookmarkStart w:id="367" w:name="_Toc10217"/>
      <w:bookmarkStart w:id="368" w:name="_Toc16808"/>
      <w:bookmarkStart w:id="369" w:name="_Toc509392330"/>
      <w:bookmarkStart w:id="370" w:name="_Toc2074428"/>
      <w:bookmarkStart w:id="371" w:name="_Toc25524"/>
      <w:r>
        <w:rPr>
          <w:rFonts w:hint="eastAsia" w:ascii="宋体" w:hAnsi="宋体"/>
          <w:b/>
          <w:color w:val="auto"/>
          <w:szCs w:val="21"/>
          <w:highlight w:val="none"/>
        </w:rPr>
        <w:br w:type="page"/>
      </w:r>
      <w:r>
        <w:rPr>
          <w:rFonts w:hint="eastAsia" w:ascii="宋体" w:hAnsi="宋体"/>
          <w:b/>
          <w:color w:val="auto"/>
          <w:szCs w:val="21"/>
          <w:highlight w:val="none"/>
        </w:rPr>
        <w:t>附表二：技术评审表</w:t>
      </w:r>
      <w:bookmarkEnd w:id="367"/>
      <w:bookmarkEnd w:id="368"/>
      <w:bookmarkEnd w:id="369"/>
      <w:bookmarkEnd w:id="370"/>
      <w:bookmarkEnd w:id="371"/>
    </w:p>
    <w:p>
      <w:pPr>
        <w:spacing w:line="360" w:lineRule="auto"/>
        <w:jc w:val="center"/>
        <w:rPr>
          <w:rFonts w:hint="eastAsia"/>
          <w:b/>
          <w:color w:val="auto"/>
          <w:sz w:val="22"/>
          <w:highlight w:val="none"/>
        </w:rPr>
      </w:pPr>
      <w:r>
        <w:rPr>
          <w:rFonts w:hint="eastAsia"/>
          <w:b/>
          <w:color w:val="auto"/>
          <w:sz w:val="22"/>
          <w:highlight w:val="none"/>
        </w:rPr>
        <w:t>技术评审表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17"/>
        <w:gridCol w:w="6973"/>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评审内容</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评分标准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4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tcBorders>
              <w:top w:val="single" w:color="auto" w:sz="4" w:space="0"/>
              <w:left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拆除施工过程相关保护措施</w:t>
            </w:r>
          </w:p>
        </w:tc>
        <w:tc>
          <w:tcPr>
            <w:tcW w:w="6973"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bookmarkStart w:id="372" w:name="OLE_LINK11"/>
            <w:r>
              <w:rPr>
                <w:rFonts w:hint="eastAsia" w:ascii="宋体" w:hAnsi="宋体" w:eastAsia="宋体" w:cs="宋体"/>
                <w:color w:val="auto"/>
                <w:sz w:val="21"/>
                <w:szCs w:val="21"/>
                <w:highlight w:val="none"/>
              </w:rPr>
              <w:t>环境保护措施、消防保护措施、保卫要求、施工扰民解决措施及资料管理完善，得10分；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环境保护措施、消防保护措施、保卫要求、施工扰民解决措施及资料管理较为完善，得6分；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环境保护措施、消防保护措施、保卫要求、施工扰民解决措施及资料管理不完善，得2分；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bookmarkEnd w:id="372"/>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color w:val="auto"/>
                <w:szCs w:val="21"/>
                <w:highlight w:val="none"/>
              </w:rPr>
            </w:pPr>
            <w:r>
              <w:rPr>
                <w:rFonts w:ascii="宋体" w:hAnsi="宋体" w:cs="宋体"/>
                <w:color w:val="auto"/>
                <w:szCs w:val="21"/>
                <w:highlight w:val="none"/>
              </w:rPr>
              <w:t>2</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拆除方案</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拆除方案全面、施工程序正确、施工顺序合理，得8分；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拆除方案较为全面、施工程序较为正确、施工顺序较为合理，得5分； </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拆除方案不全面、施工程序不正确、施工顺序不合理，得2分；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left="-50" w:leftChars="0" w:right="-5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现场作业管理方案</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现场作业管理方案合理性高、可行性高，得6分；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现场作业管理方案合理性较高、可行性较高，得4分；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现场作业管理方案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合理、可行性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，得2分；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现场作业管理方案合理性低、可行性低，得1分；</w:t>
            </w: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left="-50" w:leftChars="0" w:right="-5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提出的合理化建议合理，可行性高，得4分；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提出的合理化建议基本合理，具有一定的可行性，得2分；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提出的合理化建议基本合理，可行性较低，得1分；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left="-50" w:leftChars="0" w:right="-5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拟投入机械设备情况</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拟投入本项目的机械设备（包括但不限于钩机、挖掘机、推土机、吊装机、运输车及其他各种拆迁设备）：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机械设备投入充足，机械的使用和调配方案详细具体、可行性强，满足本项目需求，得6分；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机械设备投入较充足，机械的使用和调配方案较具体、有可行性，基本满足本项目需求，得4分；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机械设备投入不充足，机械的使用和调配方案不具体、可行性差，不 能很好满足本项目需求，得2分；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自有设备的需提供自购凭证复印件，租赁设备的需提供有效期内设备租赁合同复印件，运输汽车车辆除提供以上证明文件外还需提供行驶证复印件，提供不齐或提供的不符合要求或不提供不得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ind w:left="-50" w:leftChars="0" w:right="-5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安全防护方案</w:t>
            </w:r>
          </w:p>
        </w:tc>
        <w:tc>
          <w:tcPr>
            <w:tcW w:w="69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安全防护方案合理性高、可行性高，得6分；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安全防护方案合理性较高、可行性较高，得4分；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合理、可行性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，得2分；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安全防护方案合理性低、可行性低，得1分；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不提供本项不得分。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33" w:type="dxa"/>
            <w:gridSpan w:val="3"/>
            <w:tcBorders>
              <w:left w:val="single" w:color="auto" w:sz="4" w:space="0"/>
              <w:right w:val="single" w:color="auto" w:sz="4" w:space="0"/>
            </w:tcBorders>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合计</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50</w:t>
            </w:r>
          </w:p>
        </w:tc>
      </w:tr>
    </w:tbl>
    <w:p>
      <w:pPr>
        <w:spacing w:line="360" w:lineRule="auto"/>
        <w:jc w:val="center"/>
        <w:rPr>
          <w:rFonts w:hint="eastAsia"/>
          <w:b/>
          <w:color w:val="auto"/>
          <w:sz w:val="22"/>
          <w:highlight w:val="none"/>
        </w:rPr>
        <w:sectPr>
          <w:headerReference r:id="rId4" w:type="default"/>
          <w:footerReference r:id="rId5" w:type="default"/>
          <w:pgSz w:w="11905" w:h="16838"/>
          <w:pgMar w:top="1417" w:right="1417" w:bottom="1417" w:left="1417" w:header="850" w:footer="850" w:gutter="0"/>
          <w:cols w:space="720" w:num="1"/>
          <w:docGrid w:linePitch="312" w:charSpace="0"/>
        </w:sectPr>
      </w:pPr>
    </w:p>
    <w:p>
      <w:pPr>
        <w:spacing w:line="360" w:lineRule="auto"/>
        <w:rPr>
          <w:rFonts w:hint="eastAsia"/>
          <w:b/>
          <w:color w:val="auto"/>
          <w:sz w:val="22"/>
          <w:highlight w:val="none"/>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Pr>
        <w:pStyle w:val="6"/>
        <w:spacing w:before="240" w:beforeLines="100" w:after="120" w:line="360" w:lineRule="auto"/>
        <w:jc w:val="center"/>
        <w:rPr>
          <w:rFonts w:ascii="宋体" w:hAnsi="宋体"/>
          <w:b w:val="0"/>
          <w:color w:val="auto"/>
          <w:sz w:val="21"/>
          <w:szCs w:val="21"/>
          <w:highlight w:val="none"/>
        </w:rPr>
      </w:pPr>
      <w:bookmarkStart w:id="373" w:name="_Toc509392331"/>
      <w:bookmarkStart w:id="374" w:name="_Toc504694669"/>
      <w:bookmarkStart w:id="375" w:name="_Toc2074431"/>
      <w:bookmarkStart w:id="376" w:name="_Toc26115"/>
      <w:bookmarkStart w:id="377" w:name="_Toc479157994"/>
      <w:bookmarkStart w:id="378" w:name="_Toc101775133"/>
      <w:bookmarkStart w:id="379" w:name="_Toc479157864"/>
      <w:bookmarkStart w:id="380" w:name="_Toc101843133"/>
      <w:bookmarkStart w:id="381" w:name="_Toc101951271"/>
      <w:bookmarkStart w:id="382" w:name="_Toc101771380"/>
      <w:r>
        <w:rPr>
          <w:rFonts w:hint="eastAsia" w:ascii="宋体" w:hAnsi="宋体"/>
          <w:color w:val="auto"/>
          <w:sz w:val="30"/>
          <w:szCs w:val="30"/>
          <w:highlight w:val="none"/>
        </w:rPr>
        <w:t>第五章 合同格式</w:t>
      </w:r>
      <w:bookmarkEnd w:id="373"/>
      <w:bookmarkEnd w:id="374"/>
      <w:bookmarkEnd w:id="375"/>
      <w:bookmarkEnd w:id="376"/>
    </w:p>
    <w:p>
      <w:pPr>
        <w:spacing w:line="360" w:lineRule="auto"/>
        <w:jc w:val="center"/>
        <w:rPr>
          <w:rFonts w:ascii="宋体" w:hAnsi="宋体"/>
          <w:b/>
          <w:color w:val="auto"/>
          <w:szCs w:val="21"/>
          <w:highlight w:val="none"/>
        </w:rPr>
      </w:pPr>
    </w:p>
    <w:bookmarkEnd w:id="377"/>
    <w:bookmarkEnd w:id="378"/>
    <w:bookmarkEnd w:id="379"/>
    <w:bookmarkEnd w:id="380"/>
    <w:bookmarkEnd w:id="381"/>
    <w:bookmarkEnd w:id="382"/>
    <w:p>
      <w:pPr>
        <w:tabs>
          <w:tab w:val="left" w:pos="720"/>
        </w:tabs>
        <w:spacing w:line="360" w:lineRule="auto"/>
        <w:jc w:val="center"/>
        <w:rPr>
          <w:rFonts w:hint="eastAsia" w:ascii="宋体" w:hAnsi="宋体" w:eastAsia="宋体" w:cs="宋体"/>
          <w:b/>
          <w:color w:val="auto"/>
          <w:sz w:val="48"/>
          <w:szCs w:val="48"/>
          <w:highlight w:val="none"/>
          <w:lang w:eastAsia="zh-CN"/>
        </w:rPr>
      </w:pPr>
      <w:bookmarkStart w:id="383" w:name="_Toc509392332"/>
      <w:bookmarkStart w:id="384" w:name="_Toc2074432"/>
      <w:bookmarkStart w:id="385" w:name="_Toc729"/>
      <w:r>
        <w:rPr>
          <w:rFonts w:hint="eastAsia" w:ascii="宋体" w:hAnsi="宋体" w:cs="宋体"/>
          <w:b/>
          <w:color w:val="auto"/>
          <w:sz w:val="48"/>
          <w:szCs w:val="48"/>
          <w:highlight w:val="none"/>
          <w:lang w:eastAsia="zh-CN"/>
        </w:rPr>
        <w:t>2025-2026年鹭江村排水设施清疏项目</w:t>
      </w:r>
    </w:p>
    <w:p>
      <w:pPr>
        <w:tabs>
          <w:tab w:val="left" w:pos="720"/>
        </w:tabs>
        <w:spacing w:line="360" w:lineRule="auto"/>
        <w:rPr>
          <w:rFonts w:hint="eastAsia" w:ascii="宋体" w:hAnsi="宋体" w:cs="宋体"/>
          <w:b/>
          <w:color w:val="auto"/>
          <w:szCs w:val="21"/>
          <w:highlight w:val="none"/>
        </w:rPr>
      </w:pPr>
    </w:p>
    <w:p>
      <w:pPr>
        <w:tabs>
          <w:tab w:val="left" w:pos="720"/>
        </w:tabs>
        <w:spacing w:line="360" w:lineRule="auto"/>
        <w:rPr>
          <w:rFonts w:hint="eastAsia" w:ascii="宋体" w:hAnsi="宋体" w:cs="宋体"/>
          <w:b/>
          <w:color w:val="auto"/>
          <w:szCs w:val="21"/>
          <w:highlight w:val="none"/>
        </w:rPr>
      </w:pPr>
    </w:p>
    <w:p>
      <w:pPr>
        <w:tabs>
          <w:tab w:val="left" w:pos="720"/>
        </w:tabs>
        <w:spacing w:line="360" w:lineRule="auto"/>
        <w:jc w:val="center"/>
        <w:rPr>
          <w:rFonts w:hint="eastAsia" w:ascii="宋体" w:hAnsi="宋体" w:cs="宋体"/>
          <w:b/>
          <w:color w:val="auto"/>
          <w:sz w:val="64"/>
          <w:szCs w:val="64"/>
          <w:highlight w:val="none"/>
        </w:rPr>
      </w:pPr>
      <w:r>
        <w:rPr>
          <w:rFonts w:hint="eastAsia" w:ascii="宋体" w:hAnsi="宋体" w:cs="宋体"/>
          <w:b/>
          <w:color w:val="auto"/>
          <w:sz w:val="64"/>
          <w:szCs w:val="64"/>
          <w:highlight w:val="none"/>
        </w:rPr>
        <w:t>合　同　书</w:t>
      </w:r>
    </w:p>
    <w:p>
      <w:pPr>
        <w:pStyle w:val="167"/>
        <w:rPr>
          <w:rFonts w:hint="eastAsia" w:ascii="宋体" w:hAnsi="宋体" w:cs="宋体"/>
          <w:b/>
          <w:color w:val="auto"/>
          <w:sz w:val="36"/>
          <w:szCs w:val="36"/>
          <w:highlight w:val="none"/>
        </w:rPr>
      </w:pPr>
    </w:p>
    <w:p>
      <w:pPr>
        <w:tabs>
          <w:tab w:val="left" w:pos="720"/>
        </w:tabs>
        <w:spacing w:line="360" w:lineRule="auto"/>
        <w:rPr>
          <w:rFonts w:hint="eastAsia" w:ascii="宋体" w:hAnsi="宋体" w:cs="宋体"/>
          <w:b/>
          <w:color w:val="auto"/>
          <w:szCs w:val="21"/>
          <w:highlight w:val="none"/>
        </w:rPr>
      </w:pPr>
    </w:p>
    <w:p>
      <w:pPr>
        <w:tabs>
          <w:tab w:val="left" w:pos="720"/>
        </w:tabs>
        <w:spacing w:line="360" w:lineRule="auto"/>
        <w:rPr>
          <w:rFonts w:hint="eastAsia" w:ascii="宋体" w:hAnsi="宋体" w:cs="宋体"/>
          <w:b/>
          <w:color w:val="auto"/>
          <w:szCs w:val="21"/>
          <w:highlight w:val="none"/>
        </w:rPr>
      </w:pPr>
    </w:p>
    <w:p>
      <w:pPr>
        <w:tabs>
          <w:tab w:val="left" w:pos="720"/>
        </w:tabs>
        <w:spacing w:line="360" w:lineRule="auto"/>
        <w:rPr>
          <w:rFonts w:hint="eastAsia" w:ascii="宋体" w:hAnsi="宋体" w:cs="宋体"/>
          <w:b/>
          <w:color w:val="auto"/>
          <w:szCs w:val="21"/>
          <w:highlight w:val="none"/>
        </w:rPr>
      </w:pPr>
    </w:p>
    <w:p>
      <w:pPr>
        <w:tabs>
          <w:tab w:val="left" w:pos="720"/>
        </w:tabs>
        <w:spacing w:line="360" w:lineRule="auto"/>
        <w:rPr>
          <w:rFonts w:hint="eastAsia" w:ascii="宋体" w:hAnsi="宋体" w:cs="宋体"/>
          <w:b/>
          <w:color w:val="auto"/>
          <w:szCs w:val="21"/>
          <w:highlight w:val="none"/>
        </w:rPr>
      </w:pPr>
    </w:p>
    <w:tbl>
      <w:tblPr>
        <w:tblStyle w:val="48"/>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12" w:firstLineChars="5"/>
              <w:jc w:val="left"/>
              <w:rPr>
                <w:rFonts w:hint="eastAsia" w:ascii="宋体" w:hAnsi="宋体" w:cs="宋体"/>
                <w:b/>
                <w:color w:val="auto"/>
                <w:sz w:val="24"/>
                <w:highlight w:val="none"/>
                <w:u w:val="single"/>
              </w:rPr>
            </w:pPr>
            <w:r>
              <w:rPr>
                <w:rFonts w:hint="eastAsia" w:ascii="宋体" w:hAnsi="宋体" w:cs="宋体"/>
                <w:b/>
                <w:color w:val="auto"/>
                <w:sz w:val="24"/>
                <w:highlight w:val="none"/>
              </w:rPr>
              <w:t>合同编号：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420"/>
                <w:tab w:val="left" w:pos="6660"/>
              </w:tabs>
              <w:adjustRightInd w:val="0"/>
              <w:snapToGrid w:val="0"/>
              <w:spacing w:before="72" w:after="72" w:line="1200" w:lineRule="atLeast"/>
              <w:rPr>
                <w:rFonts w:hint="eastAsia" w:ascii="宋体" w:hAnsi="宋体" w:cs="宋体"/>
                <w:b/>
                <w:color w:val="auto"/>
                <w:sz w:val="24"/>
                <w:highlight w:val="none"/>
              </w:rPr>
            </w:pPr>
            <w:r>
              <w:rPr>
                <w:rFonts w:hint="eastAsia" w:ascii="宋体" w:hAnsi="宋体" w:cs="宋体"/>
                <w:b/>
                <w:color w:val="auto"/>
                <w:sz w:val="24"/>
                <w:highlight w:val="none"/>
              </w:rPr>
              <w:t xml:space="preserve">项目名称： </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ascii="宋体" w:hAnsi="宋体" w:cs="宋体"/>
                <w:b/>
                <w:color w:val="auto"/>
                <w:szCs w:val="21"/>
                <w:highlight w:val="none"/>
              </w:rPr>
            </w:pPr>
          </w:p>
        </w:tc>
      </w:tr>
    </w:tbl>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keepNext w:val="0"/>
        <w:keepLines w:val="0"/>
        <w:widowControl/>
        <w:suppressLineNumbers w:val="0"/>
        <w:ind w:firstLine="643" w:firstLineChars="200"/>
        <w:jc w:val="left"/>
        <w:rPr>
          <w:rFonts w:ascii="宋体" w:hAnsi="宋体"/>
          <w:b/>
          <w:color w:val="auto"/>
          <w:sz w:val="24"/>
          <w:szCs w:val="24"/>
          <w:highlight w:val="none"/>
        </w:rPr>
      </w:pPr>
      <w:r>
        <w:rPr>
          <w:rFonts w:hint="eastAsia" w:ascii="宋体" w:hAnsi="宋体" w:cs="宋体"/>
          <w:b/>
          <w:bCs/>
          <w:color w:val="auto"/>
          <w:sz w:val="32"/>
          <w:szCs w:val="32"/>
          <w:highlight w:val="none"/>
        </w:rPr>
        <w:br w:type="page"/>
      </w:r>
      <w:r>
        <w:rPr>
          <w:rFonts w:ascii="宋体" w:hAnsi="宋体"/>
          <w:b/>
          <w:color w:val="auto"/>
          <w:sz w:val="24"/>
          <w:szCs w:val="24"/>
          <w:highlight w:val="none"/>
        </w:rPr>
        <w:t>发包方（甲方）：</w:t>
      </w:r>
      <w:r>
        <w:rPr>
          <w:rFonts w:hint="eastAsia" w:ascii="宋体" w:hAnsi="宋体"/>
          <w:b/>
          <w:color w:val="auto"/>
          <w:sz w:val="24"/>
          <w:szCs w:val="24"/>
          <w:highlight w:val="none"/>
          <w:lang w:val="en-US" w:eastAsia="zh-CN"/>
        </w:rPr>
        <w:t>广州市海珠区路联物业管理服务部</w:t>
      </w:r>
      <w:r>
        <w:rPr>
          <w:rFonts w:ascii="宋体" w:hAnsi="宋体" w:eastAsia="宋体" w:cs="宋体"/>
          <w:color w:val="auto"/>
          <w:kern w:val="0"/>
          <w:sz w:val="24"/>
          <w:szCs w:val="24"/>
          <w:highlight w:val="none"/>
          <w:lang w:val="en-US" w:eastAsia="zh-CN" w:bidi="ar"/>
        </w:rPr>
        <w:t xml:space="preserve"> </w:t>
      </w:r>
    </w:p>
    <w:p>
      <w:pPr>
        <w:ind w:firstLine="482" w:firstLineChars="200"/>
        <w:rPr>
          <w:rFonts w:hint="eastAsia" w:ascii="宋体" w:hAnsi="宋体"/>
          <w:b/>
          <w:color w:val="auto"/>
          <w:sz w:val="24"/>
          <w:szCs w:val="24"/>
          <w:highlight w:val="none"/>
        </w:rPr>
      </w:pPr>
      <w:r>
        <w:rPr>
          <w:rFonts w:ascii="宋体" w:hAnsi="宋体"/>
          <w:b/>
          <w:color w:val="auto"/>
          <w:sz w:val="24"/>
          <w:szCs w:val="24"/>
          <w:highlight w:val="none"/>
        </w:rPr>
        <w:t>承包方（</w:t>
      </w:r>
      <w:r>
        <w:rPr>
          <w:rFonts w:hint="eastAsia" w:ascii="宋体" w:hAnsi="宋体"/>
          <w:b/>
          <w:color w:val="auto"/>
          <w:sz w:val="24"/>
          <w:szCs w:val="24"/>
          <w:highlight w:val="none"/>
        </w:rPr>
        <w:t>乙</w:t>
      </w:r>
      <w:r>
        <w:rPr>
          <w:rFonts w:ascii="宋体" w:hAnsi="宋体"/>
          <w:b/>
          <w:color w:val="auto"/>
          <w:sz w:val="24"/>
          <w:szCs w:val="24"/>
          <w:highlight w:val="none"/>
        </w:rPr>
        <w:t>方）：</w:t>
      </w:r>
    </w:p>
    <w:p>
      <w:pPr>
        <w:spacing w:line="600" w:lineRule="exact"/>
        <w:rPr>
          <w:rFonts w:ascii="宋体" w:hAnsi="宋体"/>
          <w:color w:val="auto"/>
          <w:sz w:val="24"/>
          <w:szCs w:val="24"/>
          <w:highlight w:val="none"/>
        </w:rPr>
      </w:pPr>
      <w:r>
        <w:rPr>
          <w:rFonts w:ascii="宋体" w:hAnsi="宋体"/>
          <w:b/>
          <w:color w:val="auto"/>
          <w:sz w:val="24"/>
          <w:szCs w:val="24"/>
          <w:highlight w:val="none"/>
        </w:rPr>
        <w:t xml:space="preserve">  </w:t>
      </w:r>
      <w:r>
        <w:rPr>
          <w:rFonts w:ascii="宋体" w:hAnsi="宋体"/>
          <w:color w:val="auto"/>
          <w:sz w:val="24"/>
          <w:szCs w:val="24"/>
          <w:highlight w:val="none"/>
        </w:rPr>
        <w:t xml:space="preserve">  根据《</w:t>
      </w:r>
      <w:r>
        <w:rPr>
          <w:rFonts w:hint="eastAsia" w:ascii="宋体" w:hAnsi="宋体"/>
          <w:color w:val="auto"/>
          <w:sz w:val="24"/>
          <w:szCs w:val="24"/>
          <w:highlight w:val="none"/>
        </w:rPr>
        <w:t>中华人民共和国民法典</w:t>
      </w:r>
      <w:r>
        <w:rPr>
          <w:rFonts w:ascii="宋体" w:hAnsi="宋体"/>
          <w:color w:val="auto"/>
          <w:sz w:val="24"/>
          <w:szCs w:val="24"/>
          <w:highlight w:val="none"/>
        </w:rPr>
        <w:t>》及有关规定，结合本工程的具体情况，</w:t>
      </w:r>
      <w:r>
        <w:rPr>
          <w:rFonts w:hint="eastAsia" w:ascii="宋体" w:hAnsi="宋体"/>
          <w:color w:val="auto"/>
          <w:sz w:val="24"/>
          <w:szCs w:val="24"/>
          <w:highlight w:val="none"/>
        </w:rPr>
        <w:t>双</w:t>
      </w:r>
      <w:r>
        <w:rPr>
          <w:rFonts w:ascii="宋体" w:hAnsi="宋体"/>
          <w:color w:val="auto"/>
          <w:sz w:val="24"/>
          <w:szCs w:val="24"/>
          <w:highlight w:val="none"/>
        </w:rPr>
        <w:t>方经充分协商，签订本合同，共同遵守。</w:t>
      </w:r>
    </w:p>
    <w:p>
      <w:pPr>
        <w:spacing w:line="600" w:lineRule="exact"/>
        <w:ind w:firstLine="482" w:firstLineChars="200"/>
        <w:rPr>
          <w:rFonts w:hint="eastAsia" w:ascii="宋体" w:hAnsi="宋体"/>
          <w:color w:val="auto"/>
          <w:sz w:val="24"/>
          <w:szCs w:val="24"/>
          <w:highlight w:val="none"/>
        </w:rPr>
      </w:pPr>
      <w:r>
        <w:rPr>
          <w:rFonts w:ascii="宋体" w:hAnsi="宋体"/>
          <w:b/>
          <w:color w:val="auto"/>
          <w:sz w:val="24"/>
          <w:szCs w:val="24"/>
          <w:highlight w:val="none"/>
        </w:rPr>
        <w:t>第一条：</w:t>
      </w:r>
      <w:r>
        <w:rPr>
          <w:rFonts w:ascii="宋体" w:hAnsi="宋体"/>
          <w:color w:val="auto"/>
          <w:sz w:val="24"/>
          <w:szCs w:val="24"/>
          <w:highlight w:val="none"/>
        </w:rPr>
        <w:t>工程名称：</w:t>
      </w:r>
      <w:r>
        <w:rPr>
          <w:rFonts w:hint="eastAsia" w:ascii="宋体" w:hAnsi="宋体" w:eastAsia="宋体" w:cs="Times New Roman"/>
          <w:color w:val="auto"/>
          <w:sz w:val="24"/>
          <w:szCs w:val="24"/>
          <w:highlight w:val="none"/>
          <w:lang w:val="en-US" w:eastAsia="zh-CN"/>
        </w:rPr>
        <w:t>2024-2025年鹭江村排水设施清疏养护工程</w:t>
      </w:r>
    </w:p>
    <w:p>
      <w:pPr>
        <w:spacing w:line="600" w:lineRule="exact"/>
        <w:rPr>
          <w:rFonts w:hint="eastAsia" w:ascii="宋体" w:hAnsi="宋体" w:eastAsia="宋体"/>
          <w:color w:val="auto"/>
          <w:sz w:val="24"/>
          <w:szCs w:val="24"/>
          <w:highlight w:val="none"/>
          <w:lang w:val="en-US" w:eastAsia="zh-CN"/>
        </w:rPr>
      </w:pPr>
      <w:r>
        <w:rPr>
          <w:rFonts w:ascii="宋体" w:hAnsi="宋体"/>
          <w:color w:val="auto"/>
          <w:sz w:val="24"/>
          <w:szCs w:val="24"/>
          <w:highlight w:val="none"/>
        </w:rPr>
        <w:t xml:space="preserve">            工程地点：</w:t>
      </w:r>
      <w:r>
        <w:rPr>
          <w:rFonts w:hint="eastAsia" w:ascii="宋体" w:hAnsi="宋体"/>
          <w:color w:val="auto"/>
          <w:sz w:val="24"/>
          <w:szCs w:val="24"/>
          <w:highlight w:val="none"/>
        </w:rPr>
        <w:t>海珠区凤阳街鹭江</w:t>
      </w:r>
      <w:r>
        <w:rPr>
          <w:rFonts w:hint="eastAsia" w:ascii="宋体" w:hAnsi="宋体"/>
          <w:color w:val="auto"/>
          <w:sz w:val="24"/>
          <w:szCs w:val="24"/>
          <w:highlight w:val="none"/>
          <w:lang w:val="en-US" w:eastAsia="zh-CN"/>
        </w:rPr>
        <w:t>村</w:t>
      </w:r>
    </w:p>
    <w:p>
      <w:pPr>
        <w:spacing w:line="600" w:lineRule="exact"/>
        <w:ind w:firstLine="555"/>
        <w:rPr>
          <w:rFonts w:hint="eastAsia" w:ascii="宋体" w:hAnsi="宋体"/>
          <w:color w:val="auto"/>
          <w:sz w:val="24"/>
          <w:szCs w:val="24"/>
          <w:highlight w:val="none"/>
        </w:rPr>
      </w:pPr>
      <w:r>
        <w:rPr>
          <w:rFonts w:ascii="宋体" w:hAnsi="宋体"/>
          <w:b/>
          <w:color w:val="auto"/>
          <w:sz w:val="24"/>
          <w:szCs w:val="24"/>
          <w:highlight w:val="none"/>
        </w:rPr>
        <w:t>第二条：</w:t>
      </w:r>
      <w:r>
        <w:rPr>
          <w:rFonts w:ascii="宋体" w:hAnsi="宋体"/>
          <w:color w:val="auto"/>
          <w:sz w:val="24"/>
          <w:szCs w:val="24"/>
          <w:highlight w:val="none"/>
        </w:rPr>
        <w:t>工程规模、工程量和承发包工程的范围及内容：</w:t>
      </w:r>
    </w:p>
    <w:p>
      <w:pPr>
        <w:spacing w:line="600" w:lineRule="exact"/>
        <w:ind w:firstLine="480" w:firstLineChars="200"/>
        <w:rPr>
          <w:rFonts w:hint="eastAsia" w:eastAsia="宋体"/>
          <w:color w:val="auto"/>
          <w:sz w:val="24"/>
          <w:szCs w:val="24"/>
          <w:highlight w:val="none"/>
          <w:lang w:eastAsia="zh-CN"/>
        </w:rPr>
      </w:pPr>
      <w:r>
        <w:rPr>
          <w:rFonts w:hint="eastAsia" w:ascii="宋体" w:hAnsi="宋体"/>
          <w:color w:val="auto"/>
          <w:sz w:val="24"/>
          <w:szCs w:val="24"/>
          <w:highlight w:val="none"/>
        </w:rPr>
        <w:t>凤阳街鹭江</w:t>
      </w:r>
      <w:r>
        <w:rPr>
          <w:rFonts w:hint="eastAsia" w:ascii="宋体" w:hAnsi="宋体"/>
          <w:color w:val="auto"/>
          <w:sz w:val="24"/>
          <w:szCs w:val="24"/>
          <w:highlight w:val="none"/>
          <w:lang w:val="en-US" w:eastAsia="zh-CN"/>
        </w:rPr>
        <w:t>村定员三人每天清疏沙井及排水管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清疏范围：鹭江村社辖区范围内排水设施</w:t>
      </w:r>
      <w:r>
        <w:rPr>
          <w:rFonts w:hint="eastAsia" w:eastAsia="仿宋_GB2312"/>
          <w:color w:val="auto"/>
          <w:sz w:val="24"/>
          <w:szCs w:val="24"/>
          <w:highlight w:val="none"/>
          <w:lang w:eastAsia="zh-CN"/>
        </w:rPr>
        <w:t>。</w:t>
      </w:r>
    </w:p>
    <w:p>
      <w:pPr>
        <w:spacing w:line="600" w:lineRule="exact"/>
        <w:ind w:left="241" w:hanging="241" w:hangingChars="100"/>
        <w:rPr>
          <w:rFonts w:ascii="宋体" w:hAnsi="宋体"/>
          <w:b/>
          <w:color w:val="auto"/>
          <w:sz w:val="24"/>
          <w:szCs w:val="24"/>
          <w:highlight w:val="none"/>
        </w:rPr>
      </w:pPr>
      <w:r>
        <w:rPr>
          <w:rFonts w:ascii="宋体" w:hAnsi="宋体"/>
          <w:b/>
          <w:color w:val="auto"/>
          <w:sz w:val="24"/>
          <w:szCs w:val="24"/>
          <w:highlight w:val="none"/>
        </w:rPr>
        <w:t xml:space="preserve">    第三条：</w:t>
      </w:r>
      <w:r>
        <w:rPr>
          <w:rFonts w:ascii="宋体" w:hAnsi="宋体"/>
          <w:color w:val="auto"/>
          <w:sz w:val="24"/>
          <w:szCs w:val="24"/>
          <w:highlight w:val="none"/>
        </w:rPr>
        <w:t>本合同所承包工程的工期为</w:t>
      </w:r>
      <w:r>
        <w:rPr>
          <w:rFonts w:hint="eastAsia" w:ascii="宋体" w:hAnsi="宋体"/>
          <w:color w:val="auto"/>
          <w:sz w:val="24"/>
          <w:szCs w:val="24"/>
          <w:highlight w:val="none"/>
          <w:u w:val="single"/>
          <w:lang w:val="en-US" w:eastAsia="zh-CN"/>
        </w:rPr>
        <w:t>365</w:t>
      </w:r>
      <w:r>
        <w:rPr>
          <w:rFonts w:ascii="宋体" w:hAnsi="宋体"/>
          <w:color w:val="auto"/>
          <w:sz w:val="24"/>
          <w:szCs w:val="24"/>
          <w:highlight w:val="none"/>
        </w:rPr>
        <w:t>个日历天，</w:t>
      </w:r>
      <w:r>
        <w:rPr>
          <w:rFonts w:hint="eastAsia" w:ascii="宋体" w:hAnsi="宋体"/>
          <w:color w:val="auto"/>
          <w:sz w:val="24"/>
          <w:szCs w:val="24"/>
          <w:highlight w:val="none"/>
        </w:rPr>
        <w:t>工期计算起止时间是：</w:t>
      </w:r>
      <w:r>
        <w:rPr>
          <w:rFonts w:hint="eastAsia" w:ascii="宋体" w:hAnsi="宋体"/>
          <w:color w:val="auto"/>
          <w:sz w:val="24"/>
          <w:szCs w:val="24"/>
          <w:highlight w:val="none"/>
          <w:u w:val="single"/>
        </w:rPr>
        <w:t>20</w:t>
      </w:r>
      <w:r>
        <w:rPr>
          <w:rFonts w:hint="eastAsia" w:ascii="宋体" w:hAnsi="宋体"/>
          <w:color w:val="auto"/>
          <w:sz w:val="24"/>
          <w:szCs w:val="24"/>
          <w:highlight w:val="none"/>
          <w:u w:val="single"/>
          <w:lang w:val="en-US" w:eastAsia="zh-CN"/>
        </w:rPr>
        <w:t xml:space="preserve">2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日开工，</w:t>
      </w:r>
      <w:r>
        <w:rPr>
          <w:rFonts w:hint="eastAsia" w:ascii="宋体" w:hAnsi="宋体"/>
          <w:color w:val="auto"/>
          <w:sz w:val="24"/>
          <w:szCs w:val="24"/>
          <w:highlight w:val="none"/>
          <w:u w:val="single"/>
        </w:rPr>
        <w:t>20</w:t>
      </w:r>
      <w:r>
        <w:rPr>
          <w:rFonts w:hint="eastAsia" w:ascii="宋体" w:hAnsi="宋体"/>
          <w:color w:val="auto"/>
          <w:sz w:val="24"/>
          <w:szCs w:val="24"/>
          <w:highlight w:val="none"/>
          <w:u w:val="single"/>
          <w:lang w:val="en-US" w:eastAsia="zh-CN"/>
        </w:rPr>
        <w:t xml:space="preserve">2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日竣工。</w:t>
      </w:r>
      <w:r>
        <w:rPr>
          <w:rFonts w:ascii="宋体" w:hAnsi="宋体"/>
          <w:color w:val="auto"/>
          <w:sz w:val="24"/>
          <w:szCs w:val="24"/>
          <w:highlight w:val="none"/>
        </w:rPr>
        <w:t>具体施工日期以实际开竣工日期为准。在履约过程中，因场地通道所影响的工期或因不可抗力等因素延误的工期应相应顺延。</w:t>
      </w:r>
    </w:p>
    <w:p>
      <w:pPr>
        <w:tabs>
          <w:tab w:val="left" w:pos="0"/>
        </w:tabs>
        <w:spacing w:line="600" w:lineRule="exact"/>
        <w:ind w:firstLine="555"/>
        <w:rPr>
          <w:rFonts w:ascii="宋体" w:hAnsi="宋体"/>
          <w:b/>
          <w:color w:val="auto"/>
          <w:sz w:val="24"/>
          <w:szCs w:val="24"/>
          <w:highlight w:val="none"/>
        </w:rPr>
      </w:pPr>
      <w:r>
        <w:rPr>
          <w:rFonts w:ascii="宋体" w:hAnsi="宋体"/>
          <w:b/>
          <w:color w:val="auto"/>
          <w:sz w:val="24"/>
          <w:szCs w:val="24"/>
          <w:highlight w:val="none"/>
        </w:rPr>
        <w:t>第四条：工程质量标准：</w:t>
      </w:r>
    </w:p>
    <w:p>
      <w:pPr>
        <w:ind w:left="615"/>
        <w:rPr>
          <w:rFonts w:hint="eastAsia" w:ascii="宋体" w:hAnsi="宋体"/>
          <w:color w:val="auto"/>
          <w:sz w:val="24"/>
          <w:szCs w:val="24"/>
          <w:highlight w:val="none"/>
        </w:rPr>
      </w:pPr>
      <w:r>
        <w:rPr>
          <w:rFonts w:hint="eastAsia" w:ascii="宋体" w:hAnsi="宋体"/>
          <w:color w:val="auto"/>
          <w:sz w:val="24"/>
          <w:szCs w:val="24"/>
          <w:highlight w:val="none"/>
        </w:rPr>
        <w:t>1、工程施工须符合</w:t>
      </w:r>
      <w:r>
        <w:rPr>
          <w:rFonts w:hint="eastAsia" w:ascii="宋体" w:hAnsi="宋体"/>
          <w:color w:val="auto"/>
          <w:sz w:val="24"/>
          <w:szCs w:val="24"/>
          <w:highlight w:val="none"/>
          <w:lang w:val="en-US" w:eastAsia="zh-CN"/>
        </w:rPr>
        <w:t>清疏</w:t>
      </w:r>
      <w:r>
        <w:rPr>
          <w:rFonts w:hint="eastAsia" w:ascii="宋体" w:hAnsi="宋体"/>
          <w:color w:val="auto"/>
          <w:sz w:val="24"/>
          <w:szCs w:val="24"/>
          <w:highlight w:val="none"/>
        </w:rPr>
        <w:t>工程施工技术规范，确保</w:t>
      </w:r>
      <w:r>
        <w:rPr>
          <w:rFonts w:hint="eastAsia" w:ascii="宋体" w:hAnsi="宋体"/>
          <w:color w:val="auto"/>
          <w:sz w:val="24"/>
          <w:szCs w:val="24"/>
          <w:highlight w:val="none"/>
          <w:lang w:val="en-US" w:eastAsia="zh-CN"/>
        </w:rPr>
        <w:t>道路整洁</w:t>
      </w:r>
      <w:r>
        <w:rPr>
          <w:rFonts w:hint="eastAsia" w:ascii="宋体" w:hAnsi="宋体"/>
          <w:color w:val="auto"/>
          <w:sz w:val="24"/>
          <w:szCs w:val="24"/>
          <w:highlight w:val="none"/>
        </w:rPr>
        <w:t>。</w:t>
      </w:r>
    </w:p>
    <w:p>
      <w:pPr>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2、施工中不得损坏其它市政设施，供电设施等，运输过程中要采取有效措施防止余泥外漏。</w:t>
      </w:r>
    </w:p>
    <w:p>
      <w:pPr>
        <w:spacing w:line="600" w:lineRule="exact"/>
        <w:ind w:firstLine="555"/>
        <w:rPr>
          <w:rFonts w:ascii="宋体" w:hAnsi="宋体"/>
          <w:b/>
          <w:color w:val="auto"/>
          <w:sz w:val="24"/>
          <w:szCs w:val="24"/>
          <w:highlight w:val="none"/>
        </w:rPr>
      </w:pPr>
      <w:r>
        <w:rPr>
          <w:rFonts w:ascii="宋体" w:hAnsi="宋体"/>
          <w:b/>
          <w:color w:val="auto"/>
          <w:sz w:val="24"/>
          <w:szCs w:val="24"/>
          <w:highlight w:val="none"/>
        </w:rPr>
        <w:t>第五条：工程总造价按上述承包范围</w:t>
      </w:r>
      <w:r>
        <w:rPr>
          <w:rFonts w:hint="eastAsia" w:ascii="宋体" w:hAnsi="宋体"/>
          <w:b/>
          <w:color w:val="auto"/>
          <w:sz w:val="24"/>
          <w:szCs w:val="24"/>
          <w:highlight w:val="none"/>
        </w:rPr>
        <w:t>计</w:t>
      </w:r>
      <w:r>
        <w:rPr>
          <w:rFonts w:ascii="宋体" w:hAnsi="宋体"/>
          <w:b/>
          <w:color w:val="auto"/>
          <w:sz w:val="24"/>
          <w:szCs w:val="24"/>
          <w:highlight w:val="none"/>
        </w:rPr>
        <w:t>：</w:t>
      </w:r>
    </w:p>
    <w:p>
      <w:pPr>
        <w:spacing w:line="580" w:lineRule="exact"/>
        <w:ind w:firstLine="480" w:firstLineChars="200"/>
        <w:rPr>
          <w:rFonts w:hint="eastAsia" w:ascii="宋体" w:hAnsi="宋体"/>
          <w:b w:val="0"/>
          <w:bCs/>
          <w:color w:val="auto"/>
          <w:sz w:val="24"/>
          <w:szCs w:val="24"/>
          <w:highlight w:val="none"/>
        </w:rPr>
      </w:pPr>
      <w:r>
        <w:rPr>
          <w:rFonts w:ascii="宋体" w:hAnsi="宋体"/>
          <w:color w:val="auto"/>
          <w:sz w:val="24"/>
          <w:szCs w:val="24"/>
          <w:highlight w:val="none"/>
        </w:rPr>
        <w:t>工程</w:t>
      </w:r>
      <w:r>
        <w:rPr>
          <w:rFonts w:hint="eastAsia" w:ascii="宋体" w:hAnsi="宋体"/>
          <w:color w:val="auto"/>
          <w:sz w:val="24"/>
          <w:szCs w:val="24"/>
          <w:highlight w:val="none"/>
        </w:rPr>
        <w:t>合同价</w:t>
      </w:r>
      <w:r>
        <w:rPr>
          <w:rFonts w:ascii="宋体" w:hAnsi="宋体"/>
          <w:color w:val="auto"/>
          <w:sz w:val="24"/>
          <w:szCs w:val="24"/>
          <w:highlight w:val="none"/>
        </w:rPr>
        <w:t>为人民币：</w:t>
      </w:r>
      <w:r>
        <w:rPr>
          <w:rFonts w:hint="eastAsia" w:ascii="宋体" w:hAnsi="宋体"/>
          <w:b w:val="0"/>
          <w:bCs/>
          <w:color w:val="auto"/>
          <w:sz w:val="24"/>
          <w:szCs w:val="24"/>
          <w:highlight w:val="none"/>
          <w:lang w:val="en-US" w:eastAsia="zh-CN"/>
        </w:rPr>
        <w:t xml:space="preserve"> </w:t>
      </w:r>
      <w:r>
        <w:rPr>
          <w:rFonts w:ascii="宋体" w:hAnsi="宋体"/>
          <w:b w:val="0"/>
          <w:bCs/>
          <w:color w:val="auto"/>
          <w:sz w:val="24"/>
          <w:szCs w:val="24"/>
          <w:highlight w:val="none"/>
        </w:rPr>
        <w:t>（小写：</w:t>
      </w: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val="en-US" w:eastAsia="zh-CN"/>
        </w:rPr>
        <w:t xml:space="preserve">     </w:t>
      </w:r>
      <w:r>
        <w:rPr>
          <w:rFonts w:ascii="宋体" w:hAnsi="宋体"/>
          <w:b w:val="0"/>
          <w:bCs/>
          <w:color w:val="auto"/>
          <w:sz w:val="24"/>
          <w:szCs w:val="24"/>
          <w:highlight w:val="none"/>
        </w:rPr>
        <w:t>元）</w:t>
      </w:r>
      <w:r>
        <w:rPr>
          <w:rFonts w:hint="eastAsia" w:ascii="宋体" w:hAnsi="宋体"/>
          <w:b w:val="0"/>
          <w:bCs/>
          <w:color w:val="auto"/>
          <w:sz w:val="24"/>
          <w:szCs w:val="24"/>
          <w:highlight w:val="none"/>
        </w:rPr>
        <w:t>。</w:t>
      </w:r>
    </w:p>
    <w:p>
      <w:pPr>
        <w:spacing w:line="580" w:lineRule="exact"/>
        <w:ind w:firstLine="482" w:firstLineChars="200"/>
        <w:rPr>
          <w:rFonts w:hint="eastAsia" w:ascii="宋体" w:hAnsi="宋体"/>
          <w:color w:val="auto"/>
          <w:sz w:val="24"/>
          <w:szCs w:val="24"/>
          <w:highlight w:val="none"/>
        </w:rPr>
      </w:pPr>
      <w:r>
        <w:rPr>
          <w:rFonts w:ascii="宋体" w:hAnsi="宋体"/>
          <w:b/>
          <w:color w:val="auto"/>
          <w:sz w:val="24"/>
          <w:szCs w:val="24"/>
          <w:highlight w:val="none"/>
        </w:rPr>
        <w:t xml:space="preserve">第六条： </w:t>
      </w:r>
      <w:r>
        <w:rPr>
          <w:rFonts w:hint="eastAsia" w:ascii="宋体" w:hAnsi="宋体"/>
          <w:b/>
          <w:color w:val="auto"/>
          <w:sz w:val="24"/>
          <w:szCs w:val="24"/>
          <w:highlight w:val="none"/>
        </w:rPr>
        <w:t>结算方式：</w:t>
      </w:r>
      <w:r>
        <w:rPr>
          <w:rFonts w:hint="eastAsia" w:ascii="宋体" w:hAnsi="宋体"/>
          <w:color w:val="auto"/>
          <w:sz w:val="24"/>
          <w:szCs w:val="24"/>
          <w:highlight w:val="none"/>
        </w:rPr>
        <w:t>工程量按实结算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经甲乙双方确认的结算价作为最终结算价</w:t>
      </w:r>
      <w:r>
        <w:rPr>
          <w:rFonts w:hint="eastAsia" w:ascii="宋体" w:hAnsi="宋体"/>
          <w:color w:val="auto"/>
          <w:sz w:val="24"/>
          <w:szCs w:val="24"/>
          <w:highlight w:val="none"/>
        </w:rPr>
        <w:t>。</w:t>
      </w:r>
    </w:p>
    <w:p>
      <w:pPr>
        <w:spacing w:line="580" w:lineRule="exact"/>
        <w:ind w:firstLine="482" w:firstLineChars="200"/>
        <w:rPr>
          <w:rFonts w:hint="eastAsia" w:ascii="宋体" w:hAnsi="宋体"/>
          <w:color w:val="auto"/>
          <w:sz w:val="24"/>
          <w:szCs w:val="24"/>
          <w:highlight w:val="none"/>
        </w:rPr>
      </w:pPr>
      <w:r>
        <w:rPr>
          <w:rFonts w:ascii="宋体" w:hAnsi="宋体"/>
          <w:b/>
          <w:color w:val="auto"/>
          <w:sz w:val="24"/>
          <w:szCs w:val="24"/>
          <w:highlight w:val="none"/>
        </w:rPr>
        <w:t>第</w:t>
      </w:r>
      <w:r>
        <w:rPr>
          <w:rFonts w:hint="eastAsia" w:ascii="宋体" w:hAnsi="宋体"/>
          <w:b/>
          <w:color w:val="auto"/>
          <w:sz w:val="24"/>
          <w:szCs w:val="24"/>
          <w:highlight w:val="none"/>
          <w:lang w:val="en-US" w:eastAsia="zh-CN"/>
        </w:rPr>
        <w:t>七</w:t>
      </w:r>
      <w:r>
        <w:rPr>
          <w:rFonts w:ascii="宋体" w:hAnsi="宋体"/>
          <w:b/>
          <w:color w:val="auto"/>
          <w:sz w:val="24"/>
          <w:szCs w:val="24"/>
          <w:highlight w:val="none"/>
        </w:rPr>
        <w:t>条：</w:t>
      </w:r>
      <w:r>
        <w:rPr>
          <w:rFonts w:hint="eastAsia" w:ascii="宋体" w:hAnsi="宋体"/>
          <w:b/>
          <w:color w:val="auto"/>
          <w:sz w:val="24"/>
          <w:szCs w:val="24"/>
          <w:highlight w:val="none"/>
          <w:lang w:val="en-US" w:eastAsia="zh-CN"/>
        </w:rPr>
        <w:t>付款</w:t>
      </w:r>
      <w:r>
        <w:rPr>
          <w:rFonts w:hint="eastAsia" w:ascii="宋体" w:hAnsi="宋体"/>
          <w:b/>
          <w:color w:val="auto"/>
          <w:sz w:val="24"/>
          <w:szCs w:val="24"/>
          <w:highlight w:val="none"/>
        </w:rPr>
        <w:t>方式：</w:t>
      </w:r>
      <w:r>
        <w:rPr>
          <w:rFonts w:hint="eastAsia" w:ascii="宋体" w:hAnsi="宋体"/>
          <w:b w:val="0"/>
          <w:bCs/>
          <w:color w:val="auto"/>
          <w:sz w:val="24"/>
          <w:szCs w:val="24"/>
          <w:highlight w:val="none"/>
          <w:lang w:val="en-US" w:eastAsia="zh-CN"/>
        </w:rPr>
        <w:t>按每半年支付一次工程款。</w:t>
      </w:r>
      <w:r>
        <w:rPr>
          <w:rFonts w:hint="eastAsia" w:ascii="宋体" w:hAnsi="宋体"/>
          <w:color w:val="auto"/>
          <w:sz w:val="24"/>
          <w:szCs w:val="24"/>
          <w:highlight w:val="none"/>
          <w:lang w:val="en-US" w:eastAsia="zh-CN"/>
        </w:rPr>
        <w:t>工程完成至合同工期一半时甲方支付合同总价的50%给乙方；</w:t>
      </w:r>
      <w:r>
        <w:rPr>
          <w:rFonts w:hint="eastAsia" w:ascii="宋体" w:hAnsi="宋体"/>
          <w:color w:val="auto"/>
          <w:sz w:val="24"/>
          <w:szCs w:val="24"/>
          <w:highlight w:val="none"/>
        </w:rPr>
        <w:t>甲乙双方在</w:t>
      </w:r>
      <w:r>
        <w:rPr>
          <w:rFonts w:hint="eastAsia" w:ascii="宋体" w:hAnsi="宋体"/>
          <w:color w:val="auto"/>
          <w:sz w:val="24"/>
          <w:szCs w:val="24"/>
          <w:highlight w:val="none"/>
          <w:lang w:val="en-US" w:eastAsia="zh-CN"/>
        </w:rPr>
        <w:t>合同工期满</w:t>
      </w:r>
      <w:r>
        <w:rPr>
          <w:rFonts w:hint="eastAsia" w:ascii="宋体" w:hAnsi="宋体"/>
          <w:color w:val="auto"/>
          <w:sz w:val="24"/>
          <w:szCs w:val="24"/>
          <w:highlight w:val="none"/>
        </w:rPr>
        <w:t>工程完工后进行验收，验收合格后五个工作日内，甲方将</w:t>
      </w:r>
      <w:r>
        <w:rPr>
          <w:rFonts w:hint="eastAsia" w:ascii="宋体" w:hAnsi="宋体"/>
          <w:color w:val="auto"/>
          <w:sz w:val="24"/>
          <w:szCs w:val="24"/>
          <w:highlight w:val="none"/>
          <w:lang w:val="en-US" w:eastAsia="zh-CN"/>
        </w:rPr>
        <w:t>剩余</w:t>
      </w:r>
      <w:r>
        <w:rPr>
          <w:rFonts w:hint="eastAsia" w:ascii="宋体" w:hAnsi="宋体"/>
          <w:color w:val="auto"/>
          <w:sz w:val="24"/>
          <w:szCs w:val="24"/>
          <w:highlight w:val="none"/>
        </w:rPr>
        <w:t>工程款一次性支付给乙方。</w:t>
      </w:r>
    </w:p>
    <w:p>
      <w:pPr>
        <w:rPr>
          <w:rFonts w:hint="eastAsia" w:ascii="宋体" w:hAnsi="宋体"/>
          <w:color w:val="auto"/>
          <w:sz w:val="24"/>
          <w:szCs w:val="24"/>
          <w:highlight w:val="none"/>
        </w:rPr>
      </w:pPr>
      <w:r>
        <w:rPr>
          <w:rFonts w:ascii="宋体" w:hAnsi="宋体"/>
          <w:b/>
          <w:color w:val="auto"/>
          <w:sz w:val="24"/>
          <w:szCs w:val="24"/>
          <w:highlight w:val="none"/>
        </w:rPr>
        <w:t xml:space="preserve">   </w:t>
      </w: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条：人员及分包。</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甲方派专人负责协调现场有关事务。乙方驻场代表必须配合管理。否则甲方将有权要求乙方撤换人员，因此所造成的实际损失，由乙方负责。</w:t>
      </w:r>
    </w:p>
    <w:p>
      <w:pPr>
        <w:ind w:firstLine="361" w:firstLineChars="150"/>
        <w:rPr>
          <w:rFonts w:hint="eastAsia" w:ascii="宋体" w:hAnsi="宋体"/>
          <w:b/>
          <w:color w:val="auto"/>
          <w:sz w:val="24"/>
          <w:szCs w:val="24"/>
          <w:highlight w:val="none"/>
        </w:rPr>
      </w:pP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rPr>
        <w:t>条：其它事项及补充条款</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1、乙方应加强施工安全防护措施和加强施工队伍的管理，遵守和执行安全、文明施工等的规定。</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2、本合同自签订之日起生效，至竣工验收，完成结算后自然失效。</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3、本合同一式</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rPr>
        <w:t>份，双方各执</w:t>
      </w:r>
      <w:r>
        <w:rPr>
          <w:rFonts w:hint="eastAsia" w:ascii="宋体" w:hAnsi="宋体"/>
          <w:color w:val="auto"/>
          <w:sz w:val="24"/>
          <w:szCs w:val="24"/>
          <w:highlight w:val="none"/>
          <w:lang w:val="en-US" w:eastAsia="zh-CN"/>
        </w:rPr>
        <w:t>两</w:t>
      </w:r>
      <w:r>
        <w:rPr>
          <w:rFonts w:hint="eastAsia" w:ascii="宋体" w:hAnsi="宋体"/>
          <w:color w:val="auto"/>
          <w:sz w:val="24"/>
          <w:szCs w:val="24"/>
          <w:highlight w:val="none"/>
        </w:rPr>
        <w:t>份。</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4、本合同未尽事宜，由甲乙双方协商解决。</w:t>
      </w:r>
    </w:p>
    <w:p>
      <w:pPr>
        <w:rPr>
          <w:rFonts w:hint="eastAsia" w:ascii="宋体" w:hAnsi="宋体"/>
          <w:b/>
          <w:color w:val="auto"/>
          <w:sz w:val="24"/>
          <w:szCs w:val="24"/>
          <w:highlight w:val="none"/>
        </w:rPr>
      </w:pPr>
    </w:p>
    <w:p>
      <w:pPr>
        <w:ind w:firstLine="843" w:firstLineChars="350"/>
        <w:rPr>
          <w:rFonts w:hint="eastAsia" w:ascii="宋体" w:hAnsi="宋体"/>
          <w:b/>
          <w:color w:val="auto"/>
          <w:sz w:val="24"/>
          <w:szCs w:val="24"/>
          <w:highlight w:val="none"/>
        </w:rPr>
      </w:pPr>
      <w:r>
        <w:rPr>
          <w:rFonts w:hint="eastAsia" w:ascii="宋体" w:hAnsi="宋体"/>
          <w:b/>
          <w:color w:val="auto"/>
          <w:sz w:val="24"/>
          <w:szCs w:val="24"/>
          <w:highlight w:val="none"/>
        </w:rPr>
        <w:t>甲方：</w:t>
      </w:r>
      <w:r>
        <w:rPr>
          <w:rFonts w:hint="eastAsia" w:ascii="宋体" w:hAnsi="宋体"/>
          <w:b/>
          <w:color w:val="auto"/>
          <w:sz w:val="24"/>
          <w:szCs w:val="24"/>
          <w:highlight w:val="none"/>
          <w:lang w:val="en-US" w:eastAsia="zh-CN"/>
        </w:rPr>
        <w:t>广州市海珠区路联物业管理服务部</w:t>
      </w:r>
      <w:r>
        <w:rPr>
          <w:rFonts w:ascii="宋体" w:hAnsi="宋体" w:eastAsia="宋体" w:cs="宋体"/>
          <w:color w:val="auto"/>
          <w:kern w:val="0"/>
          <w:sz w:val="24"/>
          <w:szCs w:val="24"/>
          <w:highlight w:val="none"/>
          <w:lang w:val="en-US" w:eastAsia="zh-CN" w:bidi="ar"/>
        </w:rPr>
        <w:t xml:space="preserve"> </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法人代表：</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签约代表：</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地    址：</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电    话：</w:t>
      </w:r>
    </w:p>
    <w:p>
      <w:pPr>
        <w:ind w:left="1425"/>
        <w:rPr>
          <w:rFonts w:hint="eastAsia" w:ascii="宋体" w:hAnsi="宋体"/>
          <w:b/>
          <w:color w:val="auto"/>
          <w:sz w:val="24"/>
          <w:szCs w:val="24"/>
          <w:highlight w:val="none"/>
        </w:rPr>
      </w:pPr>
    </w:p>
    <w:p>
      <w:pPr>
        <w:ind w:left="1425"/>
        <w:rPr>
          <w:rFonts w:hint="eastAsia" w:ascii="宋体" w:hAnsi="宋体"/>
          <w:b/>
          <w:color w:val="auto"/>
          <w:sz w:val="24"/>
          <w:szCs w:val="24"/>
          <w:highlight w:val="none"/>
        </w:rPr>
      </w:pPr>
    </w:p>
    <w:p>
      <w:pPr>
        <w:ind w:left="1425"/>
        <w:rPr>
          <w:rFonts w:hint="eastAsia" w:ascii="宋体" w:hAnsi="宋体"/>
          <w:b/>
          <w:color w:val="auto"/>
          <w:sz w:val="24"/>
          <w:szCs w:val="24"/>
          <w:highlight w:val="none"/>
        </w:rPr>
      </w:pPr>
    </w:p>
    <w:p>
      <w:pPr>
        <w:ind w:left="1425"/>
        <w:rPr>
          <w:rFonts w:hint="eastAsia" w:ascii="宋体" w:hAnsi="宋体"/>
          <w:b/>
          <w:color w:val="auto"/>
          <w:sz w:val="24"/>
          <w:szCs w:val="24"/>
          <w:highlight w:val="none"/>
        </w:rPr>
      </w:pP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乙方：</w:t>
      </w:r>
      <w:r>
        <w:rPr>
          <w:rFonts w:hint="eastAsia" w:ascii="宋体" w:hAnsi="宋体" w:eastAsia="宋体" w:cs="Times New Roman"/>
          <w:b/>
          <w:color w:val="auto"/>
          <w:sz w:val="24"/>
          <w:szCs w:val="24"/>
          <w:highlight w:val="none"/>
          <w:lang w:val="en-US" w:eastAsia="zh-CN"/>
        </w:rPr>
        <w:t xml:space="preserve"> </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法人代表：</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签约代表：</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地    址：</w:t>
      </w:r>
    </w:p>
    <w:p>
      <w:pPr>
        <w:rPr>
          <w:rFonts w:hint="eastAsia" w:ascii="宋体" w:hAnsi="宋体"/>
          <w:b/>
          <w:color w:val="auto"/>
          <w:sz w:val="24"/>
          <w:szCs w:val="24"/>
          <w:highlight w:val="none"/>
        </w:rPr>
      </w:pPr>
      <w:r>
        <w:rPr>
          <w:rFonts w:hint="eastAsia" w:ascii="宋体" w:hAnsi="宋体"/>
          <w:b/>
          <w:color w:val="auto"/>
          <w:sz w:val="24"/>
          <w:szCs w:val="24"/>
          <w:highlight w:val="none"/>
        </w:rPr>
        <w:t xml:space="preserve">       电    话：</w:t>
      </w:r>
    </w:p>
    <w:p>
      <w:pPr>
        <w:ind w:left="1425"/>
        <w:rPr>
          <w:rFonts w:hint="eastAsia" w:ascii="宋体" w:hAnsi="宋体"/>
          <w:b/>
          <w:color w:val="auto"/>
          <w:sz w:val="24"/>
          <w:szCs w:val="24"/>
          <w:highlight w:val="none"/>
        </w:rPr>
      </w:pPr>
    </w:p>
    <w:p>
      <w:pPr>
        <w:ind w:left="1425"/>
        <w:rPr>
          <w:rFonts w:hint="eastAsia" w:ascii="宋体" w:hAnsi="宋体"/>
          <w:b/>
          <w:color w:val="auto"/>
          <w:sz w:val="24"/>
          <w:szCs w:val="24"/>
          <w:highlight w:val="none"/>
        </w:rPr>
      </w:pPr>
    </w:p>
    <w:p>
      <w:pPr>
        <w:spacing w:line="360" w:lineRule="auto"/>
        <w:ind w:firstLine="482" w:firstLineChars="200"/>
        <w:rPr>
          <w:rFonts w:ascii="宋体" w:hAnsi="宋体" w:cs="宋体"/>
          <w:color w:val="auto"/>
          <w:szCs w:val="21"/>
          <w:highlight w:val="none"/>
        </w:rPr>
      </w:pPr>
      <w:r>
        <w:rPr>
          <w:rFonts w:hint="eastAsia" w:ascii="宋体" w:hAnsi="宋体"/>
          <w:b/>
          <w:color w:val="auto"/>
          <w:sz w:val="24"/>
          <w:szCs w:val="24"/>
          <w:highlight w:val="none"/>
        </w:rPr>
        <w:t xml:space="preserve">                        20</w:t>
      </w:r>
      <w:r>
        <w:rPr>
          <w:rFonts w:hint="eastAsia" w:ascii="宋体" w:hAnsi="宋体"/>
          <w:b/>
          <w:color w:val="auto"/>
          <w:sz w:val="24"/>
          <w:szCs w:val="24"/>
          <w:highlight w:val="none"/>
          <w:lang w:val="en-US" w:eastAsia="zh-CN"/>
        </w:rPr>
        <w:t>24</w:t>
      </w:r>
      <w:r>
        <w:rPr>
          <w:rFonts w:hint="eastAsia" w:ascii="宋体" w:hAnsi="宋体"/>
          <w:b/>
          <w:color w:val="auto"/>
          <w:sz w:val="24"/>
          <w:szCs w:val="24"/>
          <w:highlight w:val="none"/>
        </w:rPr>
        <w:t>年    月    日</w:t>
      </w:r>
      <w:r>
        <w:rPr>
          <w:rFonts w:hint="eastAsia" w:ascii="宋体" w:hAnsi="宋体"/>
          <w:color w:val="auto"/>
          <w:sz w:val="24"/>
          <w:szCs w:val="24"/>
          <w:highlight w:val="none"/>
        </w:rPr>
        <w:t xml:space="preserve"> </w:t>
      </w:r>
      <w:r>
        <w:rPr>
          <w:rFonts w:hAnsi="宋体"/>
          <w:b/>
          <w:color w:val="auto"/>
          <w:sz w:val="28"/>
          <w:highlight w:val="none"/>
        </w:rPr>
        <w:br w:type="page"/>
      </w:r>
    </w:p>
    <w:p>
      <w:pPr>
        <w:pStyle w:val="6"/>
        <w:numPr>
          <w:ilvl w:val="0"/>
          <w:numId w:val="22"/>
        </w:numPr>
        <w:spacing w:before="240" w:beforeLines="100" w:after="120"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响应文件格式</w:t>
      </w:r>
      <w:bookmarkEnd w:id="383"/>
      <w:bookmarkEnd w:id="384"/>
      <w:bookmarkEnd w:id="385"/>
    </w:p>
    <w:p>
      <w:pPr>
        <w:rPr>
          <w:color w:val="auto"/>
          <w:highlight w:val="none"/>
        </w:rPr>
      </w:pPr>
    </w:p>
    <w:p>
      <w:pPr>
        <w:pStyle w:val="34"/>
        <w:rPr>
          <w:color w:val="auto"/>
          <w:highlight w:val="none"/>
        </w:rPr>
      </w:pPr>
    </w:p>
    <w:p>
      <w:pPr>
        <w:spacing w:line="360" w:lineRule="auto"/>
        <w:rPr>
          <w:rFonts w:hint="eastAsia"/>
          <w:color w:val="auto"/>
          <w:sz w:val="24"/>
          <w:szCs w:val="24"/>
          <w:highlight w:val="none"/>
        </w:rPr>
      </w:pPr>
      <w:r>
        <w:rPr>
          <w:rFonts w:hint="eastAsia"/>
          <w:color w:val="auto"/>
          <w:sz w:val="24"/>
          <w:szCs w:val="24"/>
          <w:highlight w:val="none"/>
        </w:rPr>
        <w:t>注意事项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1、请供应商参照以下要求的格式、内容制作电子响应文件，纸质备用响应文件可为电子响应文件的打印版，否则可能将影响对响应文件的评价。</w:t>
      </w:r>
    </w:p>
    <w:p>
      <w:pPr>
        <w:spacing w:line="360" w:lineRule="auto"/>
        <w:ind w:firstLine="480" w:firstLineChars="200"/>
        <w:rPr>
          <w:color w:val="auto"/>
          <w:sz w:val="24"/>
          <w:szCs w:val="24"/>
          <w:highlight w:val="none"/>
        </w:rPr>
      </w:pPr>
      <w:r>
        <w:rPr>
          <w:rFonts w:hint="eastAsia"/>
          <w:color w:val="auto"/>
          <w:sz w:val="24"/>
          <w:szCs w:val="24"/>
          <w:highlight w:val="none"/>
        </w:rPr>
        <w:t>2、电子响应文件法定代表人及授权代表签字指：电子签字（章）、签字或盖章。</w:t>
      </w:r>
    </w:p>
    <w:p>
      <w:pPr>
        <w:spacing w:line="360" w:lineRule="auto"/>
        <w:rPr>
          <w:rFonts w:ascii="宋体" w:hAnsi="宋体"/>
          <w:color w:val="auto"/>
          <w:szCs w:val="21"/>
          <w:highlight w:val="none"/>
        </w:rPr>
      </w:pPr>
    </w:p>
    <w:p>
      <w:pPr>
        <w:tabs>
          <w:tab w:val="left" w:pos="1260"/>
        </w:tabs>
        <w:spacing w:line="360" w:lineRule="auto"/>
        <w:jc w:val="center"/>
        <w:rPr>
          <w:rFonts w:hAnsi="宋体"/>
          <w:b/>
          <w:color w:val="auto"/>
          <w:spacing w:val="100"/>
          <w:w w:val="110"/>
          <w:szCs w:val="21"/>
          <w:highlight w:val="none"/>
        </w:rPr>
      </w:pPr>
    </w:p>
    <w:p>
      <w:pPr>
        <w:tabs>
          <w:tab w:val="left" w:pos="1260"/>
        </w:tabs>
        <w:spacing w:line="360" w:lineRule="auto"/>
        <w:jc w:val="center"/>
        <w:rPr>
          <w:rFonts w:hint="eastAsia" w:hAnsi="宋体"/>
          <w:b/>
          <w:color w:val="auto"/>
          <w:spacing w:val="100"/>
          <w:w w:val="110"/>
          <w:sz w:val="40"/>
          <w:szCs w:val="40"/>
          <w:highlight w:val="none"/>
        </w:rPr>
      </w:pPr>
    </w:p>
    <w:p>
      <w:pPr>
        <w:tabs>
          <w:tab w:val="left" w:pos="1260"/>
        </w:tabs>
        <w:spacing w:line="360" w:lineRule="auto"/>
        <w:jc w:val="center"/>
        <w:rPr>
          <w:rFonts w:hint="eastAsia" w:hAnsi="宋体"/>
          <w:b/>
          <w:color w:val="auto"/>
          <w:spacing w:val="100"/>
          <w:w w:val="110"/>
          <w:sz w:val="40"/>
          <w:szCs w:val="40"/>
          <w:highlight w:val="none"/>
        </w:rPr>
        <w:sectPr>
          <w:pgSz w:w="11905" w:h="16838"/>
          <w:pgMar w:top="1417" w:right="1417" w:bottom="1417" w:left="1417" w:header="850" w:footer="850" w:gutter="0"/>
          <w:cols w:space="720" w:num="1"/>
          <w:docGrid w:linePitch="312" w:charSpace="0"/>
        </w:sectPr>
      </w:pPr>
    </w:p>
    <w:p>
      <w:pPr>
        <w:tabs>
          <w:tab w:val="left" w:pos="1260"/>
        </w:tabs>
        <w:spacing w:line="360" w:lineRule="auto"/>
        <w:rPr>
          <w:rFonts w:hint="eastAsia" w:hAnsi="宋体"/>
          <w:color w:val="auto"/>
          <w:sz w:val="40"/>
          <w:szCs w:val="40"/>
          <w:highlight w:val="none"/>
        </w:rPr>
      </w:pPr>
      <w:r>
        <w:rPr>
          <w:rFonts w:hint="eastAsia" w:hAnsi="宋体"/>
          <w:color w:val="auto"/>
          <w:sz w:val="40"/>
          <w:szCs w:val="40"/>
          <w:highlight w:val="none"/>
        </w:rPr>
        <w:t>封面格式</w:t>
      </w:r>
    </w:p>
    <w:p>
      <w:pPr>
        <w:tabs>
          <w:tab w:val="left" w:pos="1260"/>
        </w:tabs>
        <w:spacing w:line="360" w:lineRule="auto"/>
        <w:jc w:val="center"/>
        <w:rPr>
          <w:rFonts w:hint="eastAsia" w:hAnsi="宋体"/>
          <w:b/>
          <w:color w:val="auto"/>
          <w:spacing w:val="100"/>
          <w:w w:val="110"/>
          <w:sz w:val="40"/>
          <w:szCs w:val="40"/>
          <w:highlight w:val="none"/>
        </w:rPr>
      </w:pPr>
    </w:p>
    <w:p>
      <w:pPr>
        <w:tabs>
          <w:tab w:val="left" w:pos="1260"/>
        </w:tabs>
        <w:spacing w:line="360" w:lineRule="auto"/>
        <w:jc w:val="center"/>
        <w:rPr>
          <w:rFonts w:hint="eastAsia" w:hAnsi="宋体"/>
          <w:b/>
          <w:color w:val="auto"/>
          <w:spacing w:val="100"/>
          <w:w w:val="110"/>
          <w:sz w:val="40"/>
          <w:szCs w:val="40"/>
          <w:highlight w:val="none"/>
        </w:rPr>
      </w:pPr>
    </w:p>
    <w:p>
      <w:pPr>
        <w:tabs>
          <w:tab w:val="left" w:pos="1260"/>
          <w:tab w:val="left" w:pos="2290"/>
        </w:tabs>
        <w:spacing w:line="360" w:lineRule="auto"/>
        <w:rPr>
          <w:rFonts w:hint="eastAsia" w:hAnsi="宋体"/>
          <w:b/>
          <w:color w:val="auto"/>
          <w:spacing w:val="100"/>
          <w:w w:val="110"/>
          <w:sz w:val="40"/>
          <w:szCs w:val="40"/>
          <w:highlight w:val="none"/>
        </w:rPr>
      </w:pPr>
      <w:r>
        <w:rPr>
          <w:rFonts w:hint="eastAsia" w:hAnsi="宋体"/>
          <w:b/>
          <w:color w:val="auto"/>
          <w:spacing w:val="100"/>
          <w:w w:val="110"/>
          <w:sz w:val="40"/>
          <w:szCs w:val="40"/>
          <w:highlight w:val="none"/>
        </w:rPr>
        <w:tab/>
      </w:r>
      <w:r>
        <w:rPr>
          <w:rFonts w:hint="eastAsia" w:hAnsi="宋体"/>
          <w:b/>
          <w:color w:val="auto"/>
          <w:spacing w:val="100"/>
          <w:w w:val="110"/>
          <w:sz w:val="40"/>
          <w:szCs w:val="40"/>
          <w:highlight w:val="none"/>
        </w:rPr>
        <w:tab/>
      </w:r>
    </w:p>
    <w:p>
      <w:pPr>
        <w:tabs>
          <w:tab w:val="left" w:pos="1260"/>
        </w:tabs>
        <w:spacing w:line="360" w:lineRule="auto"/>
        <w:jc w:val="center"/>
        <w:rPr>
          <w:rFonts w:hAnsi="宋体"/>
          <w:b/>
          <w:color w:val="auto"/>
          <w:spacing w:val="100"/>
          <w:w w:val="110"/>
          <w:sz w:val="40"/>
          <w:szCs w:val="40"/>
          <w:highlight w:val="none"/>
        </w:rPr>
      </w:pPr>
      <w:r>
        <w:rPr>
          <w:rFonts w:hint="eastAsia" w:hAnsi="宋体"/>
          <w:b/>
          <w:color w:val="auto"/>
          <w:spacing w:val="100"/>
          <w:w w:val="110"/>
          <w:sz w:val="40"/>
          <w:szCs w:val="40"/>
          <w:highlight w:val="none"/>
        </w:rPr>
        <w:t>竞争性磋商响应文件</w:t>
      </w:r>
    </w:p>
    <w:p>
      <w:pPr>
        <w:spacing w:line="360" w:lineRule="auto"/>
        <w:jc w:val="center"/>
        <w:rPr>
          <w:rFonts w:hAnsi="宋体"/>
          <w:b/>
          <w:color w:val="auto"/>
          <w:sz w:val="40"/>
          <w:szCs w:val="40"/>
          <w:highlight w:val="none"/>
        </w:rPr>
      </w:pPr>
      <w:r>
        <w:rPr>
          <w:rFonts w:hint="eastAsia" w:hAnsi="宋体"/>
          <w:b/>
          <w:color w:val="auto"/>
          <w:sz w:val="40"/>
          <w:szCs w:val="40"/>
          <w:highlight w:val="none"/>
        </w:rPr>
        <w:t>（正本/副本）</w:t>
      </w:r>
    </w:p>
    <w:p>
      <w:pPr>
        <w:spacing w:line="360" w:lineRule="auto"/>
        <w:jc w:val="center"/>
        <w:rPr>
          <w:rFonts w:hAnsi="宋体"/>
          <w:b/>
          <w:color w:val="auto"/>
          <w:sz w:val="48"/>
          <w:szCs w:val="21"/>
          <w:highlight w:val="none"/>
        </w:rPr>
      </w:pPr>
    </w:p>
    <w:p>
      <w:pPr>
        <w:spacing w:line="360" w:lineRule="auto"/>
        <w:jc w:val="center"/>
        <w:rPr>
          <w:rFonts w:hAnsi="宋体"/>
          <w:b/>
          <w:color w:val="auto"/>
          <w:szCs w:val="21"/>
          <w:highlight w:val="none"/>
        </w:rPr>
      </w:pPr>
    </w:p>
    <w:p>
      <w:pPr>
        <w:pStyle w:val="23"/>
        <w:spacing w:line="360" w:lineRule="auto"/>
        <w:ind w:firstLine="725" w:firstLineChars="344"/>
        <w:rPr>
          <w:rFonts w:ascii="宋体" w:hAnsi="宋体"/>
          <w:b/>
          <w:color w:val="auto"/>
          <w:szCs w:val="21"/>
          <w:highlight w:val="none"/>
        </w:rPr>
      </w:pPr>
    </w:p>
    <w:p>
      <w:pPr>
        <w:pStyle w:val="23"/>
        <w:spacing w:line="360" w:lineRule="auto"/>
        <w:ind w:firstLine="967" w:firstLineChars="344"/>
        <w:rPr>
          <w:rFonts w:ascii="宋体" w:hAnsi="宋体"/>
          <w:b/>
          <w:color w:val="auto"/>
          <w:sz w:val="28"/>
          <w:szCs w:val="21"/>
          <w:highlight w:val="none"/>
          <w:u w:val="single"/>
        </w:rPr>
      </w:pPr>
      <w:r>
        <w:rPr>
          <w:rFonts w:hint="eastAsia" w:ascii="宋体" w:hAnsi="宋体"/>
          <w:b/>
          <w:color w:val="auto"/>
          <w:sz w:val="28"/>
          <w:szCs w:val="21"/>
          <w:highlight w:val="none"/>
        </w:rPr>
        <w:t>采购项目名称：</w:t>
      </w:r>
    </w:p>
    <w:p>
      <w:pPr>
        <w:spacing w:line="360" w:lineRule="auto"/>
        <w:ind w:firstLine="1383" w:firstLineChars="492"/>
        <w:rPr>
          <w:rFonts w:hAnsi="宋体"/>
          <w:b/>
          <w:color w:val="auto"/>
          <w:sz w:val="28"/>
          <w:szCs w:val="21"/>
          <w:highlight w:val="none"/>
        </w:rPr>
      </w:pPr>
    </w:p>
    <w:p>
      <w:pPr>
        <w:spacing w:line="360" w:lineRule="auto"/>
        <w:ind w:firstLine="1383" w:firstLineChars="492"/>
        <w:rPr>
          <w:rFonts w:hint="eastAsia" w:hAnsi="宋体"/>
          <w:b/>
          <w:color w:val="auto"/>
          <w:sz w:val="28"/>
          <w:szCs w:val="21"/>
          <w:highlight w:val="none"/>
        </w:rPr>
      </w:pPr>
      <w:r>
        <w:rPr>
          <w:rFonts w:hint="eastAsia" w:hAnsi="宋体"/>
          <w:b/>
          <w:color w:val="auto"/>
          <w:sz w:val="28"/>
          <w:szCs w:val="21"/>
          <w:highlight w:val="none"/>
        </w:rPr>
        <w:t>采购项目编号：</w:t>
      </w:r>
    </w:p>
    <w:p>
      <w:pPr>
        <w:spacing w:line="360" w:lineRule="auto"/>
        <w:ind w:firstLine="1383" w:firstLineChars="492"/>
        <w:rPr>
          <w:rFonts w:hint="eastAsia" w:hAnsi="宋体"/>
          <w:b/>
          <w:color w:val="auto"/>
          <w:sz w:val="28"/>
          <w:szCs w:val="21"/>
          <w:highlight w:val="none"/>
        </w:rPr>
      </w:pPr>
    </w:p>
    <w:p>
      <w:pPr>
        <w:spacing w:line="360" w:lineRule="auto"/>
        <w:ind w:firstLine="843" w:firstLineChars="300"/>
        <w:rPr>
          <w:rFonts w:hAnsi="宋体"/>
          <w:b/>
          <w:color w:val="auto"/>
          <w:sz w:val="28"/>
          <w:szCs w:val="21"/>
          <w:highlight w:val="none"/>
        </w:rPr>
      </w:pPr>
    </w:p>
    <w:p>
      <w:pPr>
        <w:spacing w:line="360" w:lineRule="auto"/>
        <w:ind w:firstLine="843" w:firstLineChars="300"/>
        <w:rPr>
          <w:rFonts w:hAnsi="宋体"/>
          <w:b/>
          <w:color w:val="auto"/>
          <w:sz w:val="28"/>
          <w:szCs w:val="21"/>
          <w:highlight w:val="none"/>
        </w:rPr>
      </w:pPr>
    </w:p>
    <w:p>
      <w:pPr>
        <w:spacing w:line="360" w:lineRule="auto"/>
        <w:ind w:firstLine="843" w:firstLineChars="300"/>
        <w:rPr>
          <w:rFonts w:hAnsi="宋体"/>
          <w:b/>
          <w:color w:val="auto"/>
          <w:sz w:val="28"/>
          <w:szCs w:val="21"/>
          <w:highlight w:val="none"/>
        </w:rPr>
      </w:pPr>
    </w:p>
    <w:p>
      <w:pPr>
        <w:pStyle w:val="23"/>
        <w:spacing w:line="360" w:lineRule="auto"/>
        <w:ind w:firstLine="967" w:firstLineChars="344"/>
        <w:rPr>
          <w:rFonts w:ascii="宋体" w:hAnsi="宋体"/>
          <w:b/>
          <w:color w:val="auto"/>
          <w:sz w:val="28"/>
          <w:szCs w:val="21"/>
          <w:highlight w:val="none"/>
          <w:u w:val="single"/>
        </w:rPr>
      </w:pPr>
      <w:r>
        <w:rPr>
          <w:rFonts w:hint="eastAsia" w:ascii="宋体" w:hAnsi="宋体"/>
          <w:b/>
          <w:color w:val="auto"/>
          <w:sz w:val="28"/>
          <w:szCs w:val="21"/>
          <w:highlight w:val="none"/>
        </w:rPr>
        <w:t>供应商名称（加盖公章）：</w:t>
      </w:r>
    </w:p>
    <w:p>
      <w:pPr>
        <w:pStyle w:val="23"/>
        <w:spacing w:line="360" w:lineRule="auto"/>
        <w:ind w:firstLine="967" w:firstLineChars="344"/>
        <w:rPr>
          <w:rFonts w:ascii="宋体" w:hAnsi="宋体"/>
          <w:b/>
          <w:color w:val="auto"/>
          <w:sz w:val="28"/>
          <w:szCs w:val="21"/>
          <w:highlight w:val="none"/>
        </w:rPr>
      </w:pPr>
      <w:r>
        <w:rPr>
          <w:rFonts w:hint="eastAsia" w:ascii="宋体" w:hAnsi="宋体"/>
          <w:b/>
          <w:color w:val="auto"/>
          <w:sz w:val="28"/>
          <w:szCs w:val="21"/>
          <w:highlight w:val="none"/>
        </w:rPr>
        <w:t>日期：   年  月   日</w:t>
      </w:r>
    </w:p>
    <w:p>
      <w:pPr>
        <w:autoSpaceDE w:val="0"/>
        <w:autoSpaceDN w:val="0"/>
        <w:spacing w:line="360" w:lineRule="auto"/>
        <w:ind w:firstLine="744" w:firstLineChars="353"/>
        <w:rPr>
          <w:rFonts w:ascii="宋体" w:hAnsi="宋体"/>
          <w:b/>
          <w:color w:val="auto"/>
          <w:szCs w:val="21"/>
          <w:highlight w:val="none"/>
          <w:u w:val="single"/>
        </w:rPr>
      </w:pPr>
    </w:p>
    <w:p>
      <w:pPr>
        <w:pStyle w:val="7"/>
        <w:keepLines w:val="0"/>
        <w:widowControl w:val="0"/>
        <w:tabs>
          <w:tab w:val="left" w:pos="851"/>
        </w:tabs>
        <w:adjustRightInd/>
        <w:snapToGrid/>
        <w:jc w:val="both"/>
        <w:rPr>
          <w:rFonts w:hAnsi="宋体"/>
          <w:b/>
          <w:color w:val="auto"/>
          <w:sz w:val="24"/>
          <w:szCs w:val="24"/>
          <w:highlight w:val="none"/>
        </w:rPr>
      </w:pPr>
      <w:r>
        <w:rPr>
          <w:rFonts w:hAnsi="宋体"/>
          <w:color w:val="auto"/>
          <w:sz w:val="21"/>
          <w:szCs w:val="21"/>
          <w:highlight w:val="none"/>
        </w:rPr>
        <w:br w:type="page"/>
      </w:r>
      <w:bookmarkStart w:id="386" w:name="_Toc454820102"/>
      <w:bookmarkStart w:id="387" w:name="_Toc23954"/>
      <w:bookmarkStart w:id="388" w:name="_Toc479157995"/>
      <w:bookmarkStart w:id="389" w:name="_Toc455134764"/>
      <w:bookmarkStart w:id="390" w:name="_Toc480898285"/>
      <w:bookmarkStart w:id="391" w:name="_Toc479157865"/>
      <w:bookmarkStart w:id="392" w:name="_Toc2074433"/>
      <w:bookmarkStart w:id="393" w:name="_Toc476581443"/>
      <w:bookmarkStart w:id="394" w:name="_Toc509392333"/>
      <w:r>
        <w:rPr>
          <w:rFonts w:hint="eastAsia" w:hAnsi="宋体"/>
          <w:b/>
          <w:color w:val="auto"/>
          <w:sz w:val="24"/>
          <w:szCs w:val="24"/>
          <w:highlight w:val="none"/>
        </w:rPr>
        <w:t>1.自查表</w:t>
      </w:r>
      <w:bookmarkEnd w:id="386"/>
      <w:bookmarkEnd w:id="387"/>
      <w:bookmarkEnd w:id="388"/>
      <w:bookmarkEnd w:id="389"/>
      <w:bookmarkEnd w:id="390"/>
      <w:bookmarkEnd w:id="391"/>
      <w:bookmarkEnd w:id="392"/>
      <w:bookmarkEnd w:id="393"/>
      <w:bookmarkEnd w:id="394"/>
    </w:p>
    <w:p>
      <w:pPr>
        <w:pStyle w:val="8"/>
        <w:rPr>
          <w:rFonts w:hAnsi="宋体"/>
          <w:b/>
          <w:color w:val="auto"/>
          <w:szCs w:val="21"/>
          <w:highlight w:val="none"/>
        </w:rPr>
      </w:pPr>
      <w:bookmarkStart w:id="395" w:name="_Toc479157996"/>
      <w:r>
        <w:rPr>
          <w:rFonts w:hint="eastAsia" w:hAnsi="宋体"/>
          <w:b/>
          <w:color w:val="auto"/>
          <w:szCs w:val="21"/>
          <w:highlight w:val="none"/>
        </w:rPr>
        <w:t>1.1 初步评审自查表</w:t>
      </w:r>
      <w:bookmarkEnd w:id="39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710"/>
        <w:gridCol w:w="4452"/>
        <w:gridCol w:w="137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48" w:hRule="atLeast"/>
          <w:jc w:val="center"/>
        </w:trPr>
        <w:tc>
          <w:tcPr>
            <w:tcW w:w="710"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52" w:type="dxa"/>
            <w:noWrap w:val="0"/>
            <w:vAlign w:val="center"/>
          </w:tcPr>
          <w:p>
            <w:pPr>
              <w:adjustRightInd w:val="0"/>
              <w:snapToGrid w:val="0"/>
              <w:jc w:val="center"/>
              <w:rPr>
                <w:rFonts w:ascii="宋体" w:hAnsi="宋体"/>
                <w:color w:val="auto"/>
                <w:szCs w:val="21"/>
                <w:highlight w:val="none"/>
              </w:rPr>
            </w:pPr>
            <w:r>
              <w:rPr>
                <w:rStyle w:val="51"/>
                <w:rFonts w:hint="eastAsia" w:ascii="宋体" w:hAnsi="宋体"/>
                <w:color w:val="auto"/>
                <w:szCs w:val="21"/>
                <w:highlight w:val="none"/>
              </w:rPr>
              <w:t>采购文件</w:t>
            </w:r>
            <w:r>
              <w:rPr>
                <w:rStyle w:val="51"/>
                <w:rFonts w:ascii="宋体" w:hAnsi="宋体"/>
                <w:color w:val="auto"/>
                <w:szCs w:val="21"/>
                <w:highlight w:val="none"/>
              </w:rPr>
              <w:t>要求</w:t>
            </w:r>
          </w:p>
          <w:p>
            <w:pPr>
              <w:adjustRightInd w:val="0"/>
              <w:snapToGrid w:val="0"/>
              <w:jc w:val="center"/>
              <w:rPr>
                <w:rFonts w:ascii="宋体" w:hAnsi="宋体" w:cs="宋体"/>
                <w:color w:val="auto"/>
                <w:szCs w:val="21"/>
                <w:highlight w:val="none"/>
              </w:rPr>
            </w:pPr>
            <w:r>
              <w:rPr>
                <w:rFonts w:ascii="宋体" w:hAnsi="宋体"/>
                <w:color w:val="auto"/>
                <w:szCs w:val="21"/>
                <w:highlight w:val="none"/>
              </w:rPr>
              <w:t>（详见初步评审表各项）</w:t>
            </w:r>
          </w:p>
        </w:tc>
        <w:tc>
          <w:tcPr>
            <w:tcW w:w="1374" w:type="dxa"/>
            <w:noWrap w:val="0"/>
            <w:vAlign w:val="center"/>
          </w:tcPr>
          <w:p>
            <w:pPr>
              <w:adjustRightInd w:val="0"/>
              <w:snapToGrid w:val="0"/>
              <w:jc w:val="center"/>
              <w:rPr>
                <w:rFonts w:ascii="宋体" w:hAnsi="宋体" w:cs="宋体"/>
                <w:color w:val="auto"/>
                <w:szCs w:val="21"/>
                <w:highlight w:val="none"/>
              </w:rPr>
            </w:pPr>
            <w:r>
              <w:rPr>
                <w:rStyle w:val="51"/>
                <w:rFonts w:ascii="宋体" w:hAnsi="宋体"/>
                <w:color w:val="auto"/>
                <w:szCs w:val="21"/>
                <w:highlight w:val="none"/>
              </w:rPr>
              <w:t>自查结论</w:t>
            </w:r>
          </w:p>
        </w:tc>
        <w:tc>
          <w:tcPr>
            <w:tcW w:w="2145" w:type="dxa"/>
            <w:noWrap w:val="0"/>
            <w:vAlign w:val="center"/>
          </w:tcPr>
          <w:p>
            <w:pPr>
              <w:adjustRightInd w:val="0"/>
              <w:snapToGrid w:val="0"/>
              <w:jc w:val="center"/>
              <w:rPr>
                <w:rFonts w:ascii="宋体" w:hAnsi="宋体" w:cs="宋体"/>
                <w:color w:val="auto"/>
                <w:szCs w:val="21"/>
                <w:highlight w:val="none"/>
              </w:rPr>
            </w:pPr>
            <w:r>
              <w:rPr>
                <w:rFonts w:hint="eastAsia" w:ascii="宋体" w:hAnsi="宋体"/>
                <w:b/>
                <w:color w:val="auto"/>
                <w:szCs w:val="21"/>
                <w:highlight w:val="none"/>
              </w:rPr>
              <w:t>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2" w:hRule="atLeast"/>
          <w:jc w:val="center"/>
        </w:trPr>
        <w:tc>
          <w:tcPr>
            <w:tcW w:w="710" w:type="dxa"/>
            <w:noWrap w:val="0"/>
            <w:vAlign w:val="center"/>
          </w:tcPr>
          <w:p>
            <w:pPr>
              <w:pStyle w:val="44"/>
              <w:adjustRightInd w:val="0"/>
              <w:snapToGrid w:val="0"/>
              <w:spacing w:before="0" w:beforeAutospacing="0" w:after="0" w:afterAutospacing="0"/>
              <w:jc w:val="center"/>
              <w:rPr>
                <w:color w:val="auto"/>
                <w:sz w:val="21"/>
                <w:szCs w:val="21"/>
                <w:highlight w:val="none"/>
              </w:rPr>
            </w:pPr>
            <w:r>
              <w:rPr>
                <w:rFonts w:hint="eastAsia"/>
                <w:color w:val="auto"/>
                <w:sz w:val="21"/>
                <w:szCs w:val="21"/>
                <w:highlight w:val="none"/>
              </w:rPr>
              <w:t>1</w:t>
            </w:r>
          </w:p>
        </w:tc>
        <w:tc>
          <w:tcPr>
            <w:tcW w:w="4452" w:type="dxa"/>
            <w:noWrap w:val="0"/>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供应商符合供应商邀请函“六、</w:t>
            </w:r>
            <w:r>
              <w:rPr>
                <w:rFonts w:hint="eastAsia" w:ascii="宋体" w:hAnsi="宋体"/>
                <w:color w:val="auto"/>
                <w:szCs w:val="21"/>
                <w:highlight w:val="none"/>
              </w:rPr>
              <w:tab/>
            </w:r>
            <w:r>
              <w:rPr>
                <w:rFonts w:hint="eastAsia" w:ascii="宋体" w:hAnsi="宋体"/>
                <w:color w:val="auto"/>
                <w:szCs w:val="21"/>
                <w:highlight w:val="none"/>
              </w:rPr>
              <w:t>供应商资格要求”；</w:t>
            </w:r>
          </w:p>
        </w:tc>
        <w:tc>
          <w:tcPr>
            <w:tcW w:w="1374"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通过 </w:t>
            </w:r>
          </w:p>
          <w:p>
            <w:pPr>
              <w:adjustRightInd w:val="0"/>
              <w:snapToGrid w:val="0"/>
              <w:rPr>
                <w:rFonts w:ascii="宋体" w:hAnsi="宋体" w:cs="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s="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2" w:hRule="atLeast"/>
          <w:jc w:val="center"/>
        </w:trPr>
        <w:tc>
          <w:tcPr>
            <w:tcW w:w="710" w:type="dxa"/>
            <w:noWrap w:val="0"/>
            <w:vAlign w:val="center"/>
          </w:tcPr>
          <w:p>
            <w:pPr>
              <w:pStyle w:val="44"/>
              <w:adjustRightInd w:val="0"/>
              <w:snapToGrid w:val="0"/>
              <w:spacing w:before="0" w:beforeAutospacing="0" w:after="0" w:afterAutospacing="0"/>
              <w:jc w:val="center"/>
              <w:rPr>
                <w:rFonts w:hint="eastAsia"/>
                <w:color w:val="auto"/>
                <w:sz w:val="21"/>
                <w:szCs w:val="21"/>
                <w:highlight w:val="none"/>
              </w:rPr>
            </w:pPr>
            <w:r>
              <w:rPr>
                <w:rFonts w:hint="eastAsia"/>
                <w:color w:val="auto"/>
                <w:sz w:val="21"/>
                <w:szCs w:val="21"/>
                <w:highlight w:val="none"/>
              </w:rPr>
              <w:t>2</w:t>
            </w:r>
          </w:p>
        </w:tc>
        <w:tc>
          <w:tcPr>
            <w:tcW w:w="445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供应商是否按磋商文件要求提交磋商保证金的（如有）；</w:t>
            </w:r>
          </w:p>
        </w:tc>
        <w:tc>
          <w:tcPr>
            <w:tcW w:w="1374"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通过 </w:t>
            </w:r>
          </w:p>
          <w:p>
            <w:pPr>
              <w:adjustRightInd w:val="0"/>
              <w:snapToGrid w:val="0"/>
              <w:rPr>
                <w:rFonts w:ascii="宋体" w:hAnsi="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06" w:hRule="atLeast"/>
          <w:jc w:val="center"/>
        </w:trPr>
        <w:tc>
          <w:tcPr>
            <w:tcW w:w="710" w:type="dxa"/>
            <w:noWrap w:val="0"/>
            <w:vAlign w:val="center"/>
          </w:tcPr>
          <w:p>
            <w:pPr>
              <w:pStyle w:val="44"/>
              <w:adjustRightInd w:val="0"/>
              <w:snapToGrid w:val="0"/>
              <w:spacing w:before="0" w:beforeAutospacing="0" w:after="0" w:afterAutospacing="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4452" w:type="dxa"/>
            <w:noWrap w:val="0"/>
            <w:vAlign w:val="top"/>
          </w:tcPr>
          <w:p>
            <w:pPr>
              <w:pStyle w:val="143"/>
              <w:spacing w:before="28"/>
              <w:ind w:left="94"/>
              <w:rPr>
                <w:rFonts w:ascii="宋体" w:hAnsi="宋体"/>
                <w:color w:val="auto"/>
                <w:szCs w:val="21"/>
                <w:highlight w:val="none"/>
              </w:rPr>
            </w:pPr>
            <w:r>
              <w:rPr>
                <w:color w:val="auto"/>
                <w:sz w:val="21"/>
                <w:szCs w:val="21"/>
                <w:highlight w:val="none"/>
              </w:rPr>
              <w:t>报价为固定唯一价且未超过磋商文件中规定的预算金额或最高限价。</w:t>
            </w:r>
          </w:p>
        </w:tc>
        <w:tc>
          <w:tcPr>
            <w:tcW w:w="1374" w:type="dxa"/>
            <w:noWrap w:val="0"/>
            <w:vAlign w:val="center"/>
          </w:tcPr>
          <w:p>
            <w:pPr>
              <w:adjustRightInd w:val="0"/>
              <w:snapToGrid w:val="0"/>
              <w:rPr>
                <w:rFonts w:hint="eastAsia" w:ascii="宋体" w:hAnsi="宋体"/>
                <w:color w:val="auto"/>
                <w:szCs w:val="21"/>
                <w:highlight w:val="none"/>
              </w:rPr>
            </w:pPr>
            <w:r>
              <w:rPr>
                <w:rFonts w:ascii="宋体" w:hAnsi="宋体"/>
                <w:color w:val="auto"/>
                <w:szCs w:val="21"/>
                <w:highlight w:val="none"/>
              </w:rPr>
              <w:t xml:space="preserve">□通过 </w:t>
            </w:r>
          </w:p>
          <w:p>
            <w:pPr>
              <w:adjustRightInd w:val="0"/>
              <w:snapToGrid w:val="0"/>
              <w:rPr>
                <w:rFonts w:ascii="宋体" w:hAnsi="宋体" w:cs="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s="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710" w:type="dxa"/>
            <w:noWrap w:val="0"/>
            <w:vAlign w:val="center"/>
          </w:tcPr>
          <w:p>
            <w:pPr>
              <w:pStyle w:val="44"/>
              <w:adjustRightInd w:val="0"/>
              <w:snapToGrid w:val="0"/>
              <w:spacing w:before="0" w:beforeAutospacing="0" w:after="0" w:afterAutospacing="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4452" w:type="dxa"/>
            <w:noWrap w:val="0"/>
            <w:vAlign w:val="top"/>
          </w:tcPr>
          <w:p>
            <w:pPr>
              <w:pStyle w:val="143"/>
              <w:spacing w:before="28"/>
              <w:ind w:left="94"/>
              <w:rPr>
                <w:rFonts w:ascii="宋体" w:hAnsi="宋体"/>
                <w:color w:val="auto"/>
                <w:szCs w:val="21"/>
                <w:highlight w:val="none"/>
              </w:rPr>
            </w:pPr>
            <w:r>
              <w:rPr>
                <w:color w:val="auto"/>
                <w:sz w:val="21"/>
                <w:szCs w:val="21"/>
                <w:highlight w:val="none"/>
              </w:rPr>
              <w:t>磋商有效期满足磋商文件要求。</w:t>
            </w:r>
          </w:p>
        </w:tc>
        <w:tc>
          <w:tcPr>
            <w:tcW w:w="1374" w:type="dxa"/>
            <w:noWrap w:val="0"/>
            <w:vAlign w:val="center"/>
          </w:tcPr>
          <w:p>
            <w:pPr>
              <w:adjustRightInd w:val="0"/>
              <w:snapToGrid w:val="0"/>
              <w:rPr>
                <w:rFonts w:hint="eastAsia" w:ascii="宋体" w:hAnsi="宋体"/>
                <w:color w:val="auto"/>
                <w:szCs w:val="21"/>
                <w:highlight w:val="none"/>
              </w:rPr>
            </w:pPr>
            <w:r>
              <w:rPr>
                <w:rFonts w:ascii="宋体" w:hAnsi="宋体"/>
                <w:color w:val="auto"/>
                <w:szCs w:val="21"/>
                <w:highlight w:val="none"/>
              </w:rPr>
              <w:t>□通过</w:t>
            </w:r>
          </w:p>
          <w:p>
            <w:pPr>
              <w:adjustRightInd w:val="0"/>
              <w:snapToGrid w:val="0"/>
              <w:rPr>
                <w:rFonts w:ascii="宋体" w:hAnsi="宋体" w:cs="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s="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710"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4452" w:type="dxa"/>
            <w:noWrap w:val="0"/>
            <w:vAlign w:val="top"/>
          </w:tcPr>
          <w:p>
            <w:pPr>
              <w:pStyle w:val="143"/>
              <w:spacing w:before="28"/>
              <w:ind w:left="94"/>
              <w:rPr>
                <w:rFonts w:ascii="宋体" w:hAnsi="宋体"/>
                <w:color w:val="auto"/>
                <w:szCs w:val="21"/>
                <w:highlight w:val="none"/>
              </w:rPr>
            </w:pPr>
            <w:r>
              <w:rPr>
                <w:color w:val="auto"/>
                <w:sz w:val="21"/>
                <w:szCs w:val="21"/>
                <w:highlight w:val="none"/>
              </w:rPr>
              <w:t>响应文件的签名和盖章符合磋商文件要求。</w:t>
            </w:r>
          </w:p>
        </w:tc>
        <w:tc>
          <w:tcPr>
            <w:tcW w:w="1374" w:type="dxa"/>
            <w:noWrap w:val="0"/>
            <w:vAlign w:val="center"/>
          </w:tcPr>
          <w:p>
            <w:pPr>
              <w:adjustRightInd w:val="0"/>
              <w:snapToGrid w:val="0"/>
              <w:rPr>
                <w:rFonts w:hint="eastAsia" w:ascii="宋体" w:hAnsi="宋体"/>
                <w:color w:val="auto"/>
                <w:szCs w:val="21"/>
                <w:highlight w:val="none"/>
              </w:rPr>
            </w:pPr>
            <w:r>
              <w:rPr>
                <w:rFonts w:ascii="宋体" w:hAnsi="宋体"/>
                <w:color w:val="auto"/>
                <w:szCs w:val="21"/>
                <w:highlight w:val="none"/>
              </w:rPr>
              <w:t xml:space="preserve">□通过 </w:t>
            </w:r>
          </w:p>
          <w:p>
            <w:pPr>
              <w:adjustRightInd w:val="0"/>
              <w:snapToGrid w:val="0"/>
              <w:rPr>
                <w:rFonts w:ascii="宋体" w:hAnsi="宋体" w:cs="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s="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710"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4452" w:type="dxa"/>
            <w:noWrap w:val="0"/>
            <w:vAlign w:val="top"/>
          </w:tcPr>
          <w:p>
            <w:pPr>
              <w:pStyle w:val="143"/>
              <w:spacing w:before="28"/>
              <w:ind w:left="94"/>
              <w:rPr>
                <w:rFonts w:ascii="宋体" w:hAnsi="宋体"/>
                <w:color w:val="auto"/>
                <w:szCs w:val="21"/>
                <w:highlight w:val="none"/>
              </w:rPr>
            </w:pPr>
            <w:r>
              <w:rPr>
                <w:color w:val="auto"/>
                <w:sz w:val="21"/>
                <w:szCs w:val="21"/>
                <w:highlight w:val="none"/>
              </w:rPr>
              <w:t>响应文件未含有采购人不能接受的附加条件。</w:t>
            </w:r>
          </w:p>
        </w:tc>
        <w:tc>
          <w:tcPr>
            <w:tcW w:w="1374" w:type="dxa"/>
            <w:noWrap w:val="0"/>
            <w:vAlign w:val="center"/>
          </w:tcPr>
          <w:p>
            <w:pPr>
              <w:adjustRightInd w:val="0"/>
              <w:snapToGrid w:val="0"/>
              <w:rPr>
                <w:rFonts w:hint="eastAsia" w:ascii="宋体" w:hAnsi="宋体"/>
                <w:color w:val="auto"/>
                <w:szCs w:val="21"/>
                <w:highlight w:val="none"/>
              </w:rPr>
            </w:pPr>
            <w:r>
              <w:rPr>
                <w:rFonts w:ascii="宋体" w:hAnsi="宋体"/>
                <w:color w:val="auto"/>
                <w:szCs w:val="21"/>
                <w:highlight w:val="none"/>
              </w:rPr>
              <w:t xml:space="preserve">□通过 </w:t>
            </w:r>
          </w:p>
          <w:p>
            <w:pPr>
              <w:adjustRightInd w:val="0"/>
              <w:snapToGrid w:val="0"/>
              <w:rPr>
                <w:rFonts w:ascii="宋体" w:hAnsi="宋体" w:cs="宋体"/>
                <w:color w:val="auto"/>
                <w:szCs w:val="21"/>
                <w:highlight w:val="none"/>
              </w:rPr>
            </w:pPr>
            <w:r>
              <w:rPr>
                <w:rFonts w:ascii="宋体" w:hAnsi="宋体"/>
                <w:color w:val="auto"/>
                <w:szCs w:val="21"/>
                <w:highlight w:val="none"/>
              </w:rPr>
              <w:t>□不通过</w:t>
            </w:r>
          </w:p>
        </w:tc>
        <w:tc>
          <w:tcPr>
            <w:tcW w:w="2145" w:type="dxa"/>
            <w:noWrap w:val="0"/>
            <w:vAlign w:val="center"/>
          </w:tcPr>
          <w:p>
            <w:pPr>
              <w:adjustRightInd w:val="0"/>
              <w:snapToGrid w:val="0"/>
              <w:rPr>
                <w:rFonts w:ascii="宋体" w:hAnsi="宋体" w:cs="宋体"/>
                <w:color w:val="auto"/>
                <w:szCs w:val="21"/>
                <w:highlight w:val="none"/>
              </w:rPr>
            </w:pPr>
            <w:r>
              <w:rPr>
                <w:rFonts w:ascii="宋体" w:hAnsi="宋体"/>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46" w:hRule="atLeast"/>
          <w:jc w:val="center"/>
        </w:trPr>
        <w:tc>
          <w:tcPr>
            <w:tcW w:w="710" w:type="dxa"/>
            <w:noWrap w:val="0"/>
            <w:vAlign w:val="center"/>
          </w:tcPr>
          <w:p>
            <w:pPr>
              <w:adjustRightInd w:val="0"/>
              <w:snapToGrid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4452" w:type="dxa"/>
            <w:noWrap w:val="0"/>
            <w:vAlign w:val="top"/>
          </w:tcPr>
          <w:p>
            <w:pPr>
              <w:pStyle w:val="143"/>
              <w:spacing w:before="28"/>
              <w:ind w:left="94"/>
              <w:rPr>
                <w:rFonts w:hint="eastAsia" w:ascii="宋体" w:hAnsi="宋体"/>
                <w:color w:val="auto"/>
                <w:szCs w:val="21"/>
                <w:highlight w:val="none"/>
              </w:rPr>
            </w:pPr>
            <w:r>
              <w:rPr>
                <w:color w:val="auto"/>
                <w:sz w:val="21"/>
                <w:szCs w:val="21"/>
                <w:highlight w:val="none"/>
              </w:rPr>
              <w:t>未出现法律、法规或磋商文件中规定响应无效的其它情形。</w:t>
            </w:r>
          </w:p>
        </w:tc>
        <w:tc>
          <w:tcPr>
            <w:tcW w:w="1374" w:type="dxa"/>
            <w:noWrap w:val="0"/>
            <w:vAlign w:val="center"/>
          </w:tcPr>
          <w:p>
            <w:pPr>
              <w:adjustRightInd w:val="0"/>
              <w:snapToGrid w:val="0"/>
              <w:rPr>
                <w:rFonts w:ascii="宋体" w:hAnsi="宋体"/>
                <w:color w:val="auto"/>
                <w:szCs w:val="21"/>
                <w:highlight w:val="none"/>
              </w:rPr>
            </w:pPr>
            <w:r>
              <w:rPr>
                <w:rFonts w:ascii="宋体" w:hAnsi="宋体"/>
                <w:color w:val="auto"/>
                <w:szCs w:val="21"/>
                <w:highlight w:val="none"/>
              </w:rPr>
              <w:t>□通过 □不通过</w:t>
            </w:r>
          </w:p>
        </w:tc>
        <w:tc>
          <w:tcPr>
            <w:tcW w:w="2145" w:type="dxa"/>
            <w:noWrap w:val="0"/>
            <w:vAlign w:val="center"/>
          </w:tcPr>
          <w:p>
            <w:pPr>
              <w:adjustRightInd w:val="0"/>
              <w:snapToGrid w:val="0"/>
              <w:rPr>
                <w:rFonts w:ascii="宋体" w:hAnsi="宋体"/>
                <w:color w:val="auto"/>
                <w:szCs w:val="21"/>
                <w:highlight w:val="none"/>
              </w:rPr>
            </w:pPr>
            <w:r>
              <w:rPr>
                <w:rFonts w:ascii="宋体" w:hAnsi="宋体"/>
                <w:color w:val="auto"/>
                <w:szCs w:val="21"/>
                <w:highlight w:val="none"/>
              </w:rPr>
              <w:t>见响应文件第（）页</w:t>
            </w:r>
          </w:p>
        </w:tc>
      </w:tr>
    </w:tbl>
    <w:p>
      <w:pPr>
        <w:pStyle w:val="21"/>
        <w:tabs>
          <w:tab w:val="left" w:pos="851"/>
        </w:tabs>
        <w:spacing w:after="0" w:line="360" w:lineRule="auto"/>
        <w:rPr>
          <w:rFonts w:ascii="宋体" w:hAnsi="宋体"/>
          <w:color w:val="auto"/>
          <w:sz w:val="21"/>
          <w:szCs w:val="21"/>
          <w:highlight w:val="none"/>
        </w:rPr>
      </w:pPr>
      <w:r>
        <w:rPr>
          <w:rFonts w:hint="eastAsia" w:ascii="宋体" w:hAnsi="宋体"/>
          <w:color w:val="auto"/>
          <w:sz w:val="21"/>
          <w:szCs w:val="21"/>
          <w:highlight w:val="none"/>
        </w:rPr>
        <w:t>注：以上材料将作为供应商有效性审核的重要内容之一，供应商必须严格按照其内容及序列要求在响应文件中对应如实提供，对资格性和符合性证明文件的任何缺漏和不符合项将会直接导致无效响应！供应商根据自查结论在对应的□打“√”。</w:t>
      </w:r>
    </w:p>
    <w:p>
      <w:pPr>
        <w:pStyle w:val="8"/>
        <w:rPr>
          <w:rFonts w:hAnsi="宋体"/>
          <w:b/>
          <w:color w:val="auto"/>
          <w:szCs w:val="21"/>
          <w:highlight w:val="none"/>
        </w:rPr>
      </w:pPr>
      <w:r>
        <w:rPr>
          <w:rFonts w:hAnsi="宋体"/>
          <w:color w:val="auto"/>
          <w:szCs w:val="21"/>
          <w:highlight w:val="none"/>
        </w:rPr>
        <w:br w:type="page"/>
      </w:r>
      <w:r>
        <w:rPr>
          <w:rFonts w:hint="eastAsia" w:hAnsi="宋体"/>
          <w:b/>
          <w:color w:val="auto"/>
          <w:szCs w:val="21"/>
          <w:highlight w:val="none"/>
        </w:rPr>
        <w:t>1.2 商务评审自查表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017"/>
        <w:gridCol w:w="1984"/>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评审分项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响应内容简述</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bl>
    <w:p>
      <w:pPr>
        <w:pStyle w:val="21"/>
        <w:spacing w:after="0" w:line="360" w:lineRule="auto"/>
        <w:rPr>
          <w:rFonts w:hint="eastAsia" w:ascii="宋体" w:hAnsi="宋体"/>
          <w:color w:val="auto"/>
          <w:sz w:val="21"/>
          <w:szCs w:val="21"/>
          <w:highlight w:val="none"/>
          <w:lang w:val="en-GB"/>
        </w:rPr>
      </w:pPr>
      <w:r>
        <w:rPr>
          <w:rFonts w:hint="eastAsia" w:ascii="宋体" w:hAnsi="宋体"/>
          <w:color w:val="auto"/>
          <w:sz w:val="21"/>
          <w:szCs w:val="21"/>
          <w:highlight w:val="none"/>
          <w:lang w:val="en-GB"/>
        </w:rPr>
        <w:t>注：</w:t>
      </w:r>
      <w:r>
        <w:rPr>
          <w:rFonts w:ascii="宋体" w:hAnsi="宋体"/>
          <w:color w:val="auto"/>
          <w:sz w:val="21"/>
          <w:szCs w:val="21"/>
          <w:highlight w:val="none"/>
        </w:rPr>
        <w:t>1.</w:t>
      </w:r>
      <w:r>
        <w:rPr>
          <w:rFonts w:hint="eastAsia" w:ascii="宋体" w:hAnsi="宋体"/>
          <w:color w:val="auto"/>
          <w:sz w:val="21"/>
          <w:szCs w:val="21"/>
          <w:highlight w:val="none"/>
          <w:lang w:val="en-GB"/>
        </w:rPr>
        <w:t>供应商应根据《商务评审表》的各项内容填写此表。</w:t>
      </w:r>
    </w:p>
    <w:p>
      <w:pPr>
        <w:pStyle w:val="21"/>
        <w:tabs>
          <w:tab w:val="left" w:pos="851"/>
        </w:tabs>
        <w:spacing w:after="0" w:line="360" w:lineRule="auto"/>
        <w:ind w:left="850" w:hanging="850" w:hangingChars="405"/>
        <w:rPr>
          <w:rFonts w:ascii="宋体" w:hAnsi="宋体"/>
          <w:color w:val="auto"/>
          <w:sz w:val="21"/>
          <w:szCs w:val="21"/>
          <w:highlight w:val="none"/>
          <w:lang w:val="en-GB"/>
        </w:rPr>
      </w:pPr>
    </w:p>
    <w:p>
      <w:pPr>
        <w:pStyle w:val="8"/>
        <w:rPr>
          <w:rFonts w:hAnsi="宋体"/>
          <w:color w:val="auto"/>
          <w:szCs w:val="21"/>
          <w:highlight w:val="none"/>
        </w:rPr>
      </w:pPr>
      <w:r>
        <w:rPr>
          <w:rFonts w:hAnsi="宋体"/>
          <w:color w:val="auto"/>
          <w:szCs w:val="21"/>
          <w:highlight w:val="none"/>
        </w:rPr>
        <w:br w:type="page"/>
      </w:r>
      <w:bookmarkStart w:id="396" w:name="_Toc479157997"/>
      <w:r>
        <w:rPr>
          <w:rFonts w:hint="eastAsia" w:hAnsi="宋体"/>
          <w:b/>
          <w:color w:val="auto"/>
          <w:szCs w:val="21"/>
          <w:highlight w:val="none"/>
        </w:rPr>
        <w:t>1.3 技术评审自查表</w:t>
      </w:r>
      <w:bookmarkEnd w:id="396"/>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971"/>
        <w:gridCol w:w="2126"/>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评审分项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响应内容简述</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c>
          <w:tcPr>
            <w:tcW w:w="3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bl>
    <w:p>
      <w:pPr>
        <w:pStyle w:val="21"/>
        <w:spacing w:after="0" w:line="360" w:lineRule="auto"/>
        <w:ind w:left="424" w:hanging="424" w:hangingChars="202"/>
        <w:rPr>
          <w:rFonts w:ascii="宋体" w:hAnsi="宋体"/>
          <w:color w:val="auto"/>
          <w:sz w:val="21"/>
          <w:szCs w:val="21"/>
          <w:highlight w:val="none"/>
          <w:lang w:val="en-GB"/>
        </w:rPr>
      </w:pPr>
      <w:r>
        <w:rPr>
          <w:rFonts w:hint="eastAsia" w:ascii="宋体" w:hAnsi="宋体"/>
          <w:color w:val="auto"/>
          <w:sz w:val="21"/>
          <w:szCs w:val="21"/>
          <w:highlight w:val="none"/>
          <w:lang w:val="en-GB"/>
        </w:rPr>
        <w:t>注：</w:t>
      </w:r>
      <w:r>
        <w:rPr>
          <w:rFonts w:hint="eastAsia" w:ascii="宋体" w:hAnsi="宋体"/>
          <w:color w:val="auto"/>
          <w:sz w:val="21"/>
          <w:szCs w:val="21"/>
          <w:highlight w:val="none"/>
        </w:rPr>
        <w:t>供应商应根据《技术评审表》的各项内容填写此表</w:t>
      </w:r>
      <w:r>
        <w:rPr>
          <w:rFonts w:hint="eastAsia" w:ascii="宋体" w:hAnsi="宋体"/>
          <w:color w:val="auto"/>
          <w:sz w:val="21"/>
          <w:szCs w:val="21"/>
          <w:highlight w:val="none"/>
          <w:lang w:val="en-GB"/>
        </w:rPr>
        <w:t>。</w:t>
      </w:r>
    </w:p>
    <w:p>
      <w:pPr>
        <w:pStyle w:val="21"/>
        <w:spacing w:after="0" w:line="360" w:lineRule="auto"/>
        <w:rPr>
          <w:rFonts w:ascii="宋体" w:hAnsi="宋体"/>
          <w:color w:val="auto"/>
          <w:sz w:val="21"/>
          <w:szCs w:val="21"/>
          <w:highlight w:val="none"/>
          <w:lang w:val="en-GB"/>
        </w:rPr>
      </w:pPr>
    </w:p>
    <w:p>
      <w:pPr>
        <w:pStyle w:val="21"/>
        <w:spacing w:after="0" w:line="360" w:lineRule="auto"/>
        <w:rPr>
          <w:rFonts w:hint="eastAsia" w:ascii="宋体" w:hAnsi="宋体"/>
          <w:color w:val="auto"/>
          <w:sz w:val="21"/>
          <w:szCs w:val="21"/>
          <w:highlight w:val="none"/>
          <w:lang w:val="en-GB"/>
        </w:rPr>
      </w:pPr>
    </w:p>
    <w:p>
      <w:pPr>
        <w:pStyle w:val="7"/>
        <w:keepLines w:val="0"/>
        <w:widowControl w:val="0"/>
        <w:tabs>
          <w:tab w:val="left" w:pos="851"/>
        </w:tabs>
        <w:adjustRightInd/>
        <w:snapToGrid/>
        <w:jc w:val="both"/>
        <w:rPr>
          <w:rFonts w:hAnsi="宋体"/>
          <w:b/>
          <w:color w:val="auto"/>
          <w:sz w:val="21"/>
          <w:szCs w:val="21"/>
          <w:highlight w:val="none"/>
        </w:rPr>
      </w:pPr>
      <w:r>
        <w:rPr>
          <w:rFonts w:hAnsi="宋体"/>
          <w:color w:val="auto"/>
          <w:sz w:val="21"/>
          <w:szCs w:val="21"/>
          <w:highlight w:val="none"/>
          <w:lang w:val="en-GB"/>
        </w:rPr>
        <w:br w:type="page"/>
      </w:r>
      <w:bookmarkStart w:id="397" w:name="_Toc509392334"/>
      <w:bookmarkStart w:id="398" w:name="_Toc455134765"/>
      <w:bookmarkStart w:id="399" w:name="_Toc2074434"/>
      <w:bookmarkStart w:id="400" w:name="_Toc479157999"/>
      <w:bookmarkStart w:id="401" w:name="_Toc480898286"/>
      <w:bookmarkStart w:id="402" w:name="_Toc479157866"/>
      <w:bookmarkStart w:id="403" w:name="_Toc454820103"/>
      <w:bookmarkStart w:id="404" w:name="_Toc3303"/>
      <w:r>
        <w:rPr>
          <w:rFonts w:hint="eastAsia" w:hAnsi="宋体"/>
          <w:b/>
          <w:color w:val="auto"/>
          <w:sz w:val="24"/>
          <w:szCs w:val="24"/>
          <w:highlight w:val="none"/>
        </w:rPr>
        <w:t>2.报价表</w:t>
      </w:r>
      <w:bookmarkEnd w:id="397"/>
      <w:bookmarkEnd w:id="398"/>
      <w:bookmarkEnd w:id="399"/>
      <w:bookmarkEnd w:id="400"/>
      <w:bookmarkEnd w:id="401"/>
      <w:bookmarkEnd w:id="402"/>
      <w:bookmarkEnd w:id="403"/>
      <w:bookmarkEnd w:id="404"/>
    </w:p>
    <w:p>
      <w:pPr>
        <w:pStyle w:val="8"/>
        <w:rPr>
          <w:rFonts w:hint="eastAsia" w:hAnsi="宋体"/>
          <w:b/>
          <w:color w:val="auto"/>
          <w:szCs w:val="21"/>
          <w:highlight w:val="none"/>
        </w:rPr>
      </w:pPr>
      <w:bookmarkStart w:id="405" w:name="_Toc479158000"/>
      <w:r>
        <w:rPr>
          <w:rFonts w:hint="eastAsia" w:hAnsi="宋体"/>
          <w:b/>
          <w:color w:val="auto"/>
          <w:szCs w:val="21"/>
          <w:highlight w:val="none"/>
        </w:rPr>
        <w:t>2.1报价一览表</w:t>
      </w:r>
      <w:bookmarkEnd w:id="405"/>
      <w:r>
        <w:rPr>
          <w:rFonts w:hint="eastAsia" w:hAnsi="宋体"/>
          <w:b/>
          <w:color w:val="auto"/>
          <w:szCs w:val="21"/>
          <w:highlight w:val="none"/>
        </w:rPr>
        <w:t xml:space="preserve"> </w:t>
      </w:r>
    </w:p>
    <w:p>
      <w:pPr>
        <w:pStyle w:val="10"/>
        <w:jc w:val="center"/>
        <w:rPr>
          <w:rFonts w:hint="eastAsia" w:hAnsi="宋体"/>
          <w:b/>
          <w:color w:val="auto"/>
          <w:szCs w:val="21"/>
          <w:highlight w:val="none"/>
        </w:rPr>
      </w:pPr>
      <w:r>
        <w:rPr>
          <w:rFonts w:hint="eastAsia" w:hAnsi="宋体"/>
          <w:b/>
          <w:color w:val="auto"/>
          <w:szCs w:val="21"/>
          <w:highlight w:val="none"/>
        </w:rPr>
        <w:t xml:space="preserve">报价一览表 </w:t>
      </w:r>
    </w:p>
    <w:p>
      <w:pPr>
        <w:pStyle w:val="10"/>
        <w:jc w:val="center"/>
        <w:rPr>
          <w:color w:val="auto"/>
          <w:highlight w:val="none"/>
        </w:rPr>
      </w:pPr>
    </w:p>
    <w:p>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2025-2026年鹭江村排水设施清疏项目</w:t>
      </w:r>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GZOZ625DL1003268</w:t>
      </w:r>
      <w:r>
        <w:rPr>
          <w:rFonts w:hint="eastAsia" w:ascii="宋体" w:hAnsi="宋体"/>
          <w:color w:val="auto"/>
          <w:szCs w:val="21"/>
          <w:highlight w:val="none"/>
          <w:lang w:eastAsia="zh-CN"/>
        </w:rPr>
        <w:tab/>
      </w:r>
    </w:p>
    <w:p>
      <w:pPr>
        <w:spacing w:line="360" w:lineRule="auto"/>
        <w:rPr>
          <w:rFonts w:ascii="宋体" w:hAnsi="宋体"/>
          <w:b/>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pacing w:line="360" w:lineRule="auto"/>
        <w:ind w:right="315"/>
        <w:jc w:val="right"/>
        <w:rPr>
          <w:rFonts w:hAnsi="宋体"/>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560"/>
        <w:gridCol w:w="3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316"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报价内容</w:t>
            </w:r>
          </w:p>
        </w:tc>
        <w:tc>
          <w:tcPr>
            <w:tcW w:w="156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磋商保证金</w:t>
            </w:r>
          </w:p>
        </w:tc>
        <w:tc>
          <w:tcPr>
            <w:tcW w:w="3165" w:type="dxa"/>
            <w:noWrap w:val="0"/>
            <w:vAlign w:val="center"/>
          </w:tcPr>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响应</w:t>
            </w:r>
            <w:r>
              <w:rPr>
                <w:rFonts w:hint="eastAsia" w:ascii="宋体" w:hAnsi="宋体"/>
                <w:color w:val="auto"/>
                <w:szCs w:val="21"/>
                <w:highlight w:val="none"/>
              </w:rPr>
              <w:t>报价</w:t>
            </w:r>
            <w:r>
              <w:rPr>
                <w:rFonts w:hint="eastAsia" w:ascii="宋体" w:hAnsi="宋体"/>
                <w:color w:val="auto"/>
                <w:szCs w:val="21"/>
                <w:highlight w:val="none"/>
                <w:lang w:val="en-US" w:eastAsia="zh-CN"/>
              </w:rPr>
              <w:t>（元）</w:t>
            </w:r>
          </w:p>
        </w:tc>
        <w:tc>
          <w:tcPr>
            <w:tcW w:w="1525"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2316" w:type="dxa"/>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2025-2026年鹭江村排水设施清疏项目</w:t>
            </w:r>
          </w:p>
        </w:tc>
        <w:tc>
          <w:tcPr>
            <w:tcW w:w="1560" w:type="dxa"/>
            <w:noWrap w:val="0"/>
            <w:vAlign w:val="center"/>
          </w:tcPr>
          <w:p>
            <w:pPr>
              <w:adjustRightInd w:val="0"/>
              <w:snapToGrid w:val="0"/>
              <w:jc w:val="center"/>
              <w:rPr>
                <w:rFonts w:ascii="宋体" w:hAnsi="宋体"/>
                <w:color w:val="auto"/>
                <w:szCs w:val="21"/>
                <w:highlight w:val="none"/>
              </w:rPr>
            </w:pPr>
          </w:p>
        </w:tc>
        <w:tc>
          <w:tcPr>
            <w:tcW w:w="3165" w:type="dxa"/>
            <w:noWrap w:val="0"/>
            <w:vAlign w:val="center"/>
          </w:tcPr>
          <w:p>
            <w:pPr>
              <w:adjustRightInd w:val="0"/>
              <w:snapToGrid w:val="0"/>
              <w:jc w:val="left"/>
              <w:rPr>
                <w:rFonts w:hint="eastAsia"/>
                <w:color w:val="auto"/>
                <w:highlight w:val="none"/>
              </w:rPr>
            </w:pPr>
          </w:p>
        </w:tc>
        <w:tc>
          <w:tcPr>
            <w:tcW w:w="1525" w:type="dxa"/>
            <w:noWrap w:val="0"/>
            <w:vAlign w:val="center"/>
          </w:tcPr>
          <w:p>
            <w:pPr>
              <w:adjustRightInd w:val="0"/>
              <w:snapToGrid w:val="0"/>
              <w:jc w:val="both"/>
              <w:rPr>
                <w:rFonts w:ascii="宋体" w:hAnsi="宋体"/>
                <w:color w:val="auto"/>
                <w:szCs w:val="21"/>
                <w:highlight w:val="none"/>
              </w:rPr>
            </w:pPr>
          </w:p>
        </w:tc>
      </w:tr>
    </w:tbl>
    <w:p>
      <w:pPr>
        <w:spacing w:line="360" w:lineRule="auto"/>
        <w:ind w:left="4253" w:leftChars="2025"/>
        <w:rPr>
          <w:rFonts w:ascii="宋体" w:hAnsi="宋体"/>
          <w:color w:val="auto"/>
          <w:szCs w:val="21"/>
          <w:highlight w:val="none"/>
        </w:rPr>
      </w:pPr>
    </w:p>
    <w:p>
      <w:pPr>
        <w:spacing w:line="360" w:lineRule="auto"/>
        <w:ind w:left="4253" w:leftChars="2025"/>
        <w:rPr>
          <w:rFonts w:ascii="宋体" w:hAnsi="宋体"/>
          <w:color w:val="auto"/>
          <w:szCs w:val="21"/>
          <w:highlight w:val="none"/>
        </w:rPr>
      </w:pPr>
    </w:p>
    <w:p>
      <w:pPr>
        <w:spacing w:line="360" w:lineRule="auto"/>
        <w:ind w:left="4253" w:leftChars="2025"/>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spacing w:line="360" w:lineRule="auto"/>
        <w:ind w:left="743" w:hanging="743" w:hangingChars="354"/>
        <w:rPr>
          <w:rFonts w:hAnsi="宋体"/>
          <w:color w:val="auto"/>
          <w:szCs w:val="21"/>
          <w:highlight w:val="none"/>
        </w:rPr>
      </w:pPr>
    </w:p>
    <w:p>
      <w:pPr>
        <w:spacing w:line="360" w:lineRule="auto"/>
        <w:ind w:left="743" w:hanging="743" w:hangingChars="354"/>
        <w:rPr>
          <w:rFonts w:hAnsi="宋体"/>
          <w:color w:val="auto"/>
          <w:szCs w:val="21"/>
          <w:highlight w:val="none"/>
        </w:rPr>
      </w:pPr>
    </w:p>
    <w:p>
      <w:pPr>
        <w:spacing w:line="360" w:lineRule="auto"/>
        <w:ind w:left="743" w:hanging="743" w:hangingChars="354"/>
        <w:rPr>
          <w:rFonts w:hAnsi="宋体"/>
          <w:color w:val="auto"/>
          <w:szCs w:val="21"/>
          <w:highlight w:val="none"/>
        </w:rPr>
      </w:pPr>
      <w:r>
        <w:rPr>
          <w:rFonts w:hint="eastAsia" w:hAnsi="宋体"/>
          <w:color w:val="auto"/>
          <w:szCs w:val="21"/>
          <w:highlight w:val="none"/>
        </w:rPr>
        <w:t>注：</w:t>
      </w:r>
    </w:p>
    <w:p>
      <w:pPr>
        <w:spacing w:line="360" w:lineRule="auto"/>
        <w:ind w:firstLine="420" w:firstLineChars="200"/>
        <w:rPr>
          <w:rFonts w:hint="eastAsia" w:hAnsi="宋体"/>
          <w:color w:val="auto"/>
          <w:szCs w:val="21"/>
          <w:highlight w:val="none"/>
        </w:rPr>
      </w:pPr>
      <w:r>
        <w:rPr>
          <w:rFonts w:hint="eastAsia" w:hAnsi="宋体"/>
          <w:color w:val="auto"/>
          <w:szCs w:val="21"/>
          <w:highlight w:val="none"/>
        </w:rPr>
        <w:t>1.填写此表时不得改变表格的形式；如有其他特殊说明事项，可在“备注”栏内明确表述。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2.供应商的报价已包含完成本采购文件规定内容的一切费用，结算价不因供应商报价清单中的缺漏项而予以变更。</w:t>
      </w:r>
    </w:p>
    <w:p>
      <w:pPr>
        <w:pStyle w:val="8"/>
        <w:rPr>
          <w:rFonts w:hint="eastAsia" w:hAnsi="宋体" w:eastAsia="宋体"/>
          <w:b/>
          <w:color w:val="auto"/>
          <w:szCs w:val="21"/>
          <w:highlight w:val="none"/>
          <w:lang w:eastAsia="zh-CN"/>
        </w:rPr>
      </w:pPr>
      <w:bookmarkStart w:id="406" w:name="_Toc479158001"/>
      <w:r>
        <w:rPr>
          <w:rFonts w:hAnsi="宋体"/>
          <w:b/>
          <w:color w:val="auto"/>
          <w:szCs w:val="21"/>
          <w:highlight w:val="none"/>
        </w:rPr>
        <w:br w:type="page"/>
      </w:r>
      <w:r>
        <w:rPr>
          <w:rFonts w:hint="eastAsia" w:hAnsi="宋体"/>
          <w:b/>
          <w:color w:val="auto"/>
          <w:szCs w:val="21"/>
          <w:highlight w:val="none"/>
        </w:rPr>
        <w:t>2.2报价明细表</w:t>
      </w:r>
      <w:bookmarkEnd w:id="406"/>
    </w:p>
    <w:p>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2025-2026年鹭江村排水设施清疏项目</w:t>
      </w:r>
    </w:p>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GZOZ625DL1003268</w:t>
      </w:r>
      <w:r>
        <w:rPr>
          <w:rFonts w:hint="eastAsia" w:ascii="宋体" w:hAnsi="宋体"/>
          <w:color w:val="auto"/>
          <w:szCs w:val="21"/>
          <w:highlight w:val="none"/>
          <w:lang w:eastAsia="zh-CN"/>
        </w:rPr>
        <w:tab/>
      </w:r>
    </w:p>
    <w:p>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pacing w:line="360" w:lineRule="auto"/>
        <w:rPr>
          <w:rFonts w:ascii="宋体" w:hAnsi="宋体"/>
          <w:b/>
          <w:color w:val="auto"/>
          <w:szCs w:val="21"/>
          <w:highlight w:val="none"/>
        </w:rPr>
      </w:pPr>
    </w:p>
    <w:p>
      <w:pPr>
        <w:spacing w:line="360" w:lineRule="auto"/>
        <w:ind w:right="735"/>
        <w:jc w:val="center"/>
        <w:rPr>
          <w:rFonts w:hint="eastAsia" w:hAnsi="宋体"/>
          <w:color w:val="auto"/>
          <w:szCs w:val="21"/>
          <w:highlight w:val="none"/>
        </w:rPr>
      </w:pPr>
      <w:r>
        <w:rPr>
          <w:rFonts w:hint="eastAsia" w:hAnsi="宋体"/>
          <w:color w:val="auto"/>
          <w:szCs w:val="21"/>
          <w:highlight w:val="none"/>
        </w:rPr>
        <w:t xml:space="preserve">                                                      [货币单位：人民币元]</w:t>
      </w:r>
    </w:p>
    <w:tbl>
      <w:tblPr>
        <w:tblStyle w:val="48"/>
        <w:tblW w:w="10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2835"/>
        <w:gridCol w:w="1110"/>
        <w:gridCol w:w="1200"/>
        <w:gridCol w:w="1215"/>
        <w:gridCol w:w="17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  目  名  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合价（元）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排水设施清疏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人工（每天不少于3个人，共365天）</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淤泥外运排放（</w:t>
            </w:r>
            <w:bookmarkStart w:id="407" w:name="OLE_LINK6"/>
            <w:r>
              <w:rPr>
                <w:rFonts w:hint="eastAsia" w:ascii="宋体" w:hAnsi="宋体" w:eastAsia="宋体" w:cs="宋体"/>
                <w:i w:val="0"/>
                <w:iCs w:val="0"/>
                <w:color w:val="auto"/>
                <w:kern w:val="0"/>
                <w:sz w:val="21"/>
                <w:szCs w:val="21"/>
                <w:highlight w:val="none"/>
                <w:u w:val="none"/>
                <w:lang w:val="en-US" w:eastAsia="zh-CN" w:bidi="ar"/>
              </w:rPr>
              <w:t>每两天外运1车，共365天</w:t>
            </w:r>
            <w:bookmarkEnd w:id="407"/>
            <w:r>
              <w:rPr>
                <w:rFonts w:hint="eastAsia" w:ascii="宋体" w:hAnsi="宋体" w:eastAsia="宋体" w:cs="宋体"/>
                <w:i w:val="0"/>
                <w:iCs w:val="0"/>
                <w:color w:val="auto"/>
                <w:kern w:val="0"/>
                <w:sz w:val="21"/>
                <w:szCs w:val="21"/>
                <w:highlight w:val="none"/>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182.5</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    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文明施工措施费（3%）</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税金（9%）</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合计总价（3+4+5）</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bl>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1.此表为总价之明细，请根据采购人需求的内容进行填写，如缺项将视作包含在总价中；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2.对于供应商免费提供的项目，供应商要先填写该项目的实际价格，再在备注栏注明免费。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3.供应商的报价已包含完成本采购文件规定内容的一切费用，结算价不因供应商报价清单中的缺漏项而予以变更。</w:t>
      </w:r>
    </w:p>
    <w:p>
      <w:pPr>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spacing w:line="360" w:lineRule="auto"/>
        <w:ind w:firstLine="4712" w:firstLineChars="2244"/>
        <w:rPr>
          <w:rFonts w:ascii="宋体" w:hAnsi="宋体"/>
          <w:color w:val="auto"/>
          <w:szCs w:val="21"/>
          <w:highlight w:val="none"/>
        </w:rPr>
      </w:pPr>
    </w:p>
    <w:p>
      <w:pPr>
        <w:pStyle w:val="7"/>
        <w:keepLines w:val="0"/>
        <w:widowControl w:val="0"/>
        <w:tabs>
          <w:tab w:val="left" w:pos="851"/>
        </w:tabs>
        <w:adjustRightInd/>
        <w:snapToGrid/>
        <w:jc w:val="both"/>
        <w:rPr>
          <w:rFonts w:hAnsi="宋体"/>
          <w:color w:val="auto"/>
          <w:sz w:val="21"/>
          <w:szCs w:val="21"/>
          <w:highlight w:val="none"/>
        </w:rPr>
      </w:pPr>
      <w:bookmarkStart w:id="408" w:name="_Toc479157867"/>
      <w:bookmarkStart w:id="409" w:name="_Toc479158002"/>
      <w:bookmarkStart w:id="410" w:name="_Toc480898287"/>
      <w:bookmarkStart w:id="411" w:name="_Toc455134766"/>
      <w:bookmarkStart w:id="412" w:name="_Toc476581444"/>
      <w:r>
        <w:rPr>
          <w:rFonts w:hAnsi="宋体"/>
          <w:color w:val="auto"/>
          <w:sz w:val="21"/>
          <w:szCs w:val="21"/>
          <w:highlight w:val="none"/>
        </w:rPr>
        <w:br w:type="page"/>
      </w:r>
      <w:bookmarkStart w:id="413" w:name="_Toc2074435"/>
      <w:bookmarkStart w:id="414" w:name="_Toc1756"/>
      <w:bookmarkStart w:id="415" w:name="_Toc509392335"/>
      <w:r>
        <w:rPr>
          <w:rFonts w:hint="eastAsia" w:hAnsi="宋体"/>
          <w:b/>
          <w:color w:val="auto"/>
          <w:sz w:val="24"/>
          <w:szCs w:val="24"/>
          <w:highlight w:val="none"/>
        </w:rPr>
        <w:t>3.报价函</w:t>
      </w:r>
      <w:bookmarkEnd w:id="408"/>
      <w:bookmarkEnd w:id="409"/>
      <w:bookmarkEnd w:id="410"/>
      <w:bookmarkEnd w:id="411"/>
      <w:bookmarkEnd w:id="412"/>
      <w:bookmarkEnd w:id="413"/>
      <w:bookmarkEnd w:id="414"/>
      <w:bookmarkEnd w:id="415"/>
    </w:p>
    <w:p>
      <w:pPr>
        <w:spacing w:line="360" w:lineRule="auto"/>
        <w:jc w:val="center"/>
        <w:rPr>
          <w:rFonts w:hAnsi="宋体"/>
          <w:b/>
          <w:color w:val="auto"/>
          <w:szCs w:val="21"/>
          <w:highlight w:val="none"/>
        </w:rPr>
      </w:pPr>
      <w:r>
        <w:rPr>
          <w:rFonts w:hint="eastAsia" w:hAnsi="宋体"/>
          <w:b/>
          <w:color w:val="auto"/>
          <w:szCs w:val="21"/>
          <w:highlight w:val="none"/>
        </w:rPr>
        <w:t>报价函</w:t>
      </w:r>
    </w:p>
    <w:p>
      <w:pPr>
        <w:spacing w:line="360" w:lineRule="auto"/>
        <w:rPr>
          <w:rFonts w:ascii="宋体" w:hAnsi="宋体"/>
          <w:color w:val="auto"/>
          <w:szCs w:val="21"/>
          <w:highlight w:val="none"/>
        </w:rPr>
      </w:pPr>
      <w:r>
        <w:rPr>
          <w:rFonts w:hint="eastAsia" w:ascii="宋体" w:hAnsi="宋体"/>
          <w:color w:val="auto"/>
          <w:szCs w:val="21"/>
          <w:highlight w:val="none"/>
        </w:rPr>
        <w:t>致：广东省机电设备招标有限公司</w:t>
      </w:r>
    </w:p>
    <w:p>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我方审阅了贵方的 </w:t>
      </w:r>
      <w:r>
        <w:rPr>
          <w:rFonts w:hint="eastAsia" w:ascii="宋体" w:hAnsi="宋体"/>
          <w:color w:val="auto"/>
          <w:szCs w:val="21"/>
          <w:highlight w:val="none"/>
          <w:u w:val="single"/>
        </w:rPr>
        <w:t xml:space="preserve">   （项目名称）、（项目编号） </w:t>
      </w:r>
      <w:r>
        <w:rPr>
          <w:rFonts w:hint="eastAsia" w:ascii="宋体" w:hAnsi="宋体"/>
          <w:color w:val="auto"/>
          <w:szCs w:val="21"/>
          <w:highlight w:val="none"/>
        </w:rPr>
        <w:t>采购文件的全部内容，现提交我方的响应文件。</w:t>
      </w: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（授权代表姓名、职务）  </w:t>
      </w:r>
      <w:r>
        <w:rPr>
          <w:rFonts w:hint="eastAsia" w:ascii="宋体" w:hAnsi="宋体"/>
          <w:color w:val="auto"/>
          <w:szCs w:val="21"/>
          <w:highlight w:val="none"/>
        </w:rPr>
        <w:t>为授权代表，参加贵方组织的采购项目竞争性磋商的有关活动，并对进行报价。</w:t>
      </w:r>
    </w:p>
    <w:p>
      <w:pPr>
        <w:spacing w:line="360" w:lineRule="auto"/>
        <w:rPr>
          <w:rFonts w:ascii="宋体" w:hAnsi="宋体"/>
          <w:color w:val="auto"/>
          <w:szCs w:val="21"/>
          <w:highlight w:val="none"/>
        </w:rPr>
      </w:pPr>
      <w:r>
        <w:rPr>
          <w:rFonts w:hint="eastAsia" w:ascii="宋体" w:hAnsi="宋体"/>
          <w:color w:val="auto"/>
          <w:szCs w:val="21"/>
          <w:highlight w:val="none"/>
        </w:rPr>
        <w:t>签字代表在此声明并同意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1.我方愿意遵守招标公司采购文件中的各项规定，提供符合“采购人需求”所要求的内容。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我方同意本报价自响应文件递交截止日起</w:t>
      </w:r>
      <w:r>
        <w:rPr>
          <w:rFonts w:hint="eastAsia" w:ascii="宋体" w:hAnsi="宋体"/>
          <w:color w:val="auto"/>
          <w:szCs w:val="21"/>
          <w:highlight w:val="none"/>
          <w:lang w:val="en-US" w:eastAsia="zh-CN"/>
        </w:rPr>
        <w:t>9</w:t>
      </w:r>
      <w:r>
        <w:rPr>
          <w:rFonts w:ascii="宋体" w:hAnsi="宋体"/>
          <w:color w:val="auto"/>
          <w:szCs w:val="21"/>
          <w:highlight w:val="none"/>
        </w:rPr>
        <w:t>0</w:t>
      </w:r>
      <w:r>
        <w:rPr>
          <w:rFonts w:hint="eastAsia" w:ascii="宋体" w:hAnsi="宋体"/>
          <w:color w:val="auto"/>
          <w:szCs w:val="21"/>
          <w:highlight w:val="none"/>
        </w:rPr>
        <w:t>天内有效。如果我方的报价被接受，则直至合同终止时止，本报价始终有效。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在参与报价前已仔细研究了采购文件和所有相关资料，我方完全明白并认为此采购文件没有倾向性，也没有存在排斥潜在供应商的内容，我方同意采购文件的相关条款，放弃对采购文件提出误解和质疑的一切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ab/>
      </w:r>
      <w:r>
        <w:rPr>
          <w:rFonts w:hint="eastAsia" w:ascii="宋体" w:hAnsi="宋体"/>
          <w:color w:val="auto"/>
          <w:szCs w:val="21"/>
          <w:highlight w:val="none"/>
        </w:rPr>
        <w:t>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我方理解，最低报价不能成为成交的唯一理由。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6.我方如果获选，保证履行响应文件中承诺的全部责任和义务，切实履行合同中的全部条款并按照采购文件的要求向贵公司足额缴纳成交服务费。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.我方与其他报价响应供应商不存在单位负责人为同一人或者存在直接控股、管理关系。</w:t>
      </w:r>
    </w:p>
    <w:p>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我方承诺未为本项目提供整体设计、规范编制或者项目管理、监理、检测等服务。</w:t>
      </w:r>
    </w:p>
    <w:p>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 我方承诺在本次采购活动中，无违法、违规、弄虚作假、与他人围标串标等行为。</w:t>
      </w:r>
    </w:p>
    <w:p>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以上内容如有虚假或与事实不符的，评审委员会可将我方做无效报价响应处理，我方愿意承担相应的法律责任。</w:t>
      </w:r>
    </w:p>
    <w:p>
      <w:pPr>
        <w:spacing w:line="360" w:lineRule="auto"/>
        <w:ind w:firstLine="359" w:firstLineChars="171"/>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所有有关本次磋商报价的函电请寄：</w:t>
      </w:r>
    </w:p>
    <w:p>
      <w:pPr>
        <w:tabs>
          <w:tab w:val="left" w:pos="406"/>
        </w:tabs>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p>
    <w:p>
      <w:pPr>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供应商（法人公章）：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法定代表人或授权代表（签字或盖章）：</w:t>
      </w:r>
      <w:r>
        <w:rPr>
          <w:rFonts w:hint="eastAsia" w:ascii="宋体" w:hAnsi="宋体"/>
          <w:color w:val="auto"/>
          <w:szCs w:val="21"/>
          <w:highlight w:val="none"/>
          <w:u w:val="single"/>
        </w:rPr>
        <w:t xml:space="preserve">            </w:t>
      </w:r>
    </w:p>
    <w:p>
      <w:pPr>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pPr>
        <w:spacing w:line="360" w:lineRule="auto"/>
        <w:ind w:right="84" w:rightChars="40" w:firstLine="632" w:firstLineChars="300"/>
        <w:rPr>
          <w:rFonts w:ascii="宋体" w:hAnsi="宋体" w:cs="Arial"/>
          <w:bCs/>
          <w:color w:val="auto"/>
          <w:szCs w:val="21"/>
          <w:highlight w:val="none"/>
        </w:rPr>
      </w:pPr>
      <w:r>
        <w:rPr>
          <w:rFonts w:hint="eastAsia" w:ascii="宋体" w:hAnsi="宋体"/>
          <w:b/>
          <w:color w:val="auto"/>
          <w:szCs w:val="21"/>
          <w:highlight w:val="none"/>
        </w:rPr>
        <w:t>备注:本报价函内容不得擅自删改。</w:t>
      </w:r>
    </w:p>
    <w:p>
      <w:pPr>
        <w:spacing w:line="360" w:lineRule="auto"/>
        <w:rPr>
          <w:rFonts w:ascii="宋体" w:hAnsi="宋体"/>
          <w:color w:val="auto"/>
          <w:szCs w:val="21"/>
          <w:highlight w:val="none"/>
        </w:rPr>
      </w:pPr>
    </w:p>
    <w:p>
      <w:pPr>
        <w:pStyle w:val="7"/>
        <w:keepLines w:val="0"/>
        <w:widowControl w:val="0"/>
        <w:tabs>
          <w:tab w:val="left" w:pos="851"/>
        </w:tabs>
        <w:adjustRightInd/>
        <w:snapToGrid/>
        <w:jc w:val="both"/>
        <w:rPr>
          <w:rFonts w:hint="eastAsia" w:hAnsi="宋体"/>
          <w:b/>
          <w:color w:val="auto"/>
          <w:sz w:val="24"/>
          <w:szCs w:val="24"/>
          <w:highlight w:val="none"/>
        </w:rPr>
        <w:sectPr>
          <w:pgSz w:w="11905" w:h="16838"/>
          <w:pgMar w:top="1417" w:right="1417" w:bottom="1417" w:left="1417" w:header="850" w:footer="850" w:gutter="0"/>
          <w:cols w:space="720" w:num="1"/>
          <w:docGrid w:linePitch="312" w:charSpace="0"/>
        </w:sectPr>
      </w:pPr>
      <w:bookmarkStart w:id="416" w:name="_Toc454820104"/>
      <w:bookmarkStart w:id="417" w:name="_Toc455134767"/>
      <w:bookmarkStart w:id="418" w:name="_Toc476581445"/>
      <w:bookmarkStart w:id="419" w:name="_Toc509392336"/>
      <w:bookmarkStart w:id="420" w:name="_Toc2074436"/>
      <w:bookmarkStart w:id="421" w:name="_Toc479157868"/>
      <w:bookmarkStart w:id="422" w:name="_Toc480898288"/>
      <w:bookmarkStart w:id="423" w:name="_Toc479158003"/>
    </w:p>
    <w:p>
      <w:pPr>
        <w:pStyle w:val="7"/>
        <w:keepLines w:val="0"/>
        <w:widowControl w:val="0"/>
        <w:tabs>
          <w:tab w:val="left" w:pos="851"/>
        </w:tabs>
        <w:adjustRightInd/>
        <w:snapToGrid/>
        <w:jc w:val="both"/>
        <w:rPr>
          <w:rFonts w:hAnsi="宋体"/>
          <w:color w:val="auto"/>
          <w:sz w:val="21"/>
          <w:szCs w:val="21"/>
          <w:highlight w:val="none"/>
        </w:rPr>
      </w:pPr>
      <w:bookmarkStart w:id="424" w:name="_Toc28114"/>
      <w:r>
        <w:rPr>
          <w:rFonts w:hint="eastAsia" w:hAnsi="宋体"/>
          <w:b/>
          <w:color w:val="auto"/>
          <w:sz w:val="24"/>
          <w:szCs w:val="24"/>
          <w:highlight w:val="none"/>
        </w:rPr>
        <w:t>4.资格证明文件</w:t>
      </w:r>
      <w:bookmarkEnd w:id="416"/>
      <w:bookmarkEnd w:id="417"/>
      <w:bookmarkEnd w:id="418"/>
      <w:bookmarkEnd w:id="419"/>
      <w:bookmarkEnd w:id="420"/>
      <w:bookmarkEnd w:id="421"/>
      <w:bookmarkEnd w:id="422"/>
      <w:bookmarkEnd w:id="423"/>
      <w:bookmarkEnd w:id="424"/>
    </w:p>
    <w:p>
      <w:pPr>
        <w:pStyle w:val="8"/>
        <w:rPr>
          <w:rFonts w:hAnsi="宋体"/>
          <w:color w:val="auto"/>
          <w:szCs w:val="21"/>
          <w:highlight w:val="none"/>
        </w:rPr>
      </w:pPr>
      <w:bookmarkStart w:id="425" w:name="_Toc479158004"/>
      <w:r>
        <w:rPr>
          <w:rFonts w:hint="eastAsia" w:hAnsi="宋体"/>
          <w:b/>
          <w:color w:val="auto"/>
          <w:szCs w:val="21"/>
          <w:highlight w:val="none"/>
        </w:rPr>
        <w:t>4.1</w:t>
      </w:r>
      <w:r>
        <w:rPr>
          <w:rFonts w:hint="eastAsia" w:hAnsi="宋体"/>
          <w:b/>
          <w:color w:val="auto"/>
          <w:szCs w:val="21"/>
          <w:highlight w:val="none"/>
        </w:rPr>
        <w:tab/>
      </w:r>
      <w:bookmarkEnd w:id="425"/>
      <w:r>
        <w:rPr>
          <w:rFonts w:hint="eastAsia" w:hAnsi="宋体"/>
          <w:b/>
          <w:color w:val="auto"/>
          <w:szCs w:val="21"/>
          <w:highlight w:val="none"/>
        </w:rPr>
        <w:t>资格性审查证明文件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副本扫描件。分支机构投标的，须提供总公司和分公司营业执照副本扫描件，总公司出具给分支机构的授权书扫描件。</w:t>
      </w:r>
    </w:p>
    <w:p>
      <w:pPr>
        <w:widowControl w:val="0"/>
        <w:tabs>
          <w:tab w:val="left" w:pos="851"/>
        </w:tabs>
        <w:autoSpaceDE w:val="0"/>
        <w:autoSpaceDN w:val="0"/>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cs="宋体"/>
          <w:color w:val="auto"/>
          <w:szCs w:val="21"/>
          <w:highlight w:val="none"/>
        </w:rPr>
        <w:t>“信用中国”网站（</w:t>
      </w:r>
      <w:r>
        <w:rPr>
          <w:rFonts w:ascii="ËÎÌå" w:hAnsi="ËÎÌå" w:cs="ËÎÌå"/>
          <w:color w:val="auto"/>
          <w:szCs w:val="21"/>
          <w:highlight w:val="none"/>
        </w:rPr>
        <w:t>www.creditchina.gov.cn</w:t>
      </w:r>
      <w:r>
        <w:rPr>
          <w:rFonts w:hint="eastAsia" w:ascii="宋体" w:cs="宋体"/>
          <w:color w:val="auto"/>
          <w:szCs w:val="21"/>
          <w:highlight w:val="none"/>
        </w:rPr>
        <w:t>）及中国政府采购网</w:t>
      </w:r>
      <w:r>
        <w:rPr>
          <w:rFonts w:ascii="ËÎÌå" w:hAnsi="ËÎÌå" w:cs="ËÎÌå"/>
          <w:color w:val="auto"/>
          <w:szCs w:val="21"/>
          <w:highlight w:val="none"/>
        </w:rPr>
        <w:t>(www.ccgp.gov.cn)</w:t>
      </w:r>
      <w:r>
        <w:rPr>
          <w:rFonts w:hint="eastAsia" w:ascii="宋体" w:cs="宋体"/>
          <w:color w:val="auto"/>
          <w:szCs w:val="21"/>
          <w:highlight w:val="none"/>
        </w:rPr>
        <w:t>相关信息的截图（截图内容详见“供应商资格要求”）</w:t>
      </w:r>
    </w:p>
    <w:p>
      <w:pPr>
        <w:widowControl w:val="0"/>
        <w:tabs>
          <w:tab w:val="left" w:pos="851"/>
        </w:tabs>
        <w:autoSpaceDE w:val="0"/>
        <w:autoSpaceDN w:val="0"/>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供应商资格要求中需要提交的其他证明文件。</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u w:val="single"/>
        </w:rPr>
      </w:pPr>
    </w:p>
    <w:p>
      <w:pPr>
        <w:pStyle w:val="8"/>
        <w:rPr>
          <w:rFonts w:hAnsi="宋体"/>
          <w:b/>
          <w:color w:val="auto"/>
          <w:szCs w:val="21"/>
          <w:highlight w:val="none"/>
        </w:rPr>
      </w:pPr>
      <w:bookmarkStart w:id="426" w:name="_Toc479158005"/>
      <w:r>
        <w:rPr>
          <w:rFonts w:hAnsi="宋体"/>
          <w:b/>
          <w:color w:val="auto"/>
          <w:szCs w:val="21"/>
          <w:highlight w:val="none"/>
        </w:rPr>
        <w:br w:type="page"/>
      </w:r>
      <w:r>
        <w:rPr>
          <w:rFonts w:hint="eastAsia" w:hAnsi="宋体"/>
          <w:b/>
          <w:color w:val="auto"/>
          <w:szCs w:val="21"/>
          <w:highlight w:val="none"/>
        </w:rPr>
        <w:t>4.2</w:t>
      </w:r>
      <w:r>
        <w:rPr>
          <w:rFonts w:hint="eastAsia" w:hAnsi="宋体"/>
          <w:b/>
          <w:color w:val="auto"/>
          <w:szCs w:val="21"/>
          <w:highlight w:val="none"/>
        </w:rPr>
        <w:tab/>
      </w:r>
      <w:r>
        <w:rPr>
          <w:rFonts w:hint="eastAsia" w:hAnsi="宋体"/>
          <w:b/>
          <w:color w:val="auto"/>
          <w:szCs w:val="21"/>
          <w:highlight w:val="none"/>
        </w:rPr>
        <w:t>法定代表人证明书</w:t>
      </w:r>
      <w:bookmarkEnd w:id="426"/>
    </w:p>
    <w:p>
      <w:pPr>
        <w:spacing w:line="360" w:lineRule="auto"/>
        <w:rPr>
          <w:rFonts w:ascii="宋体" w:hAnsi="宋体"/>
          <w:bCs/>
          <w:color w:val="auto"/>
          <w:szCs w:val="21"/>
          <w:highlight w:val="none"/>
        </w:rPr>
      </w:pPr>
      <w:r>
        <w:rPr>
          <w:rFonts w:hint="eastAsia" w:ascii="宋体" w:hAnsi="宋体"/>
          <w:bCs/>
          <w:color w:val="auto"/>
          <w:szCs w:val="21"/>
          <w:highlight w:val="none"/>
        </w:rPr>
        <w:t>（供应商可使用下述格式，也可使用广东省工商行政管理局统一印制的法定代表人证明书格式）</w:t>
      </w:r>
    </w:p>
    <w:p>
      <w:pPr>
        <w:spacing w:line="360" w:lineRule="auto"/>
        <w:rPr>
          <w:rFonts w:ascii="宋体" w:hAnsi="宋体"/>
          <w:b/>
          <w:color w:val="auto"/>
          <w:szCs w:val="21"/>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法定代表人证明书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现任我单位</w:t>
      </w:r>
      <w:r>
        <w:rPr>
          <w:rFonts w:hint="eastAsia" w:ascii="宋体" w:hAnsi="宋体"/>
          <w:bCs/>
          <w:color w:val="auto"/>
          <w:szCs w:val="21"/>
          <w:highlight w:val="none"/>
          <w:u w:val="single"/>
        </w:rPr>
        <w:t xml:space="preserve">      </w:t>
      </w:r>
      <w:r>
        <w:rPr>
          <w:rFonts w:hint="eastAsia" w:ascii="宋体" w:hAnsi="宋体"/>
          <w:bCs/>
          <w:color w:val="auto"/>
          <w:szCs w:val="21"/>
          <w:highlight w:val="none"/>
        </w:rPr>
        <w:t>职务，为法定代表人，特此证明。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有效期限：</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附：代表人性别：年龄：身份证号码：</w:t>
      </w:r>
      <w:r>
        <w:rPr>
          <w:rFonts w:hint="eastAsia" w:ascii="宋体" w:hAnsi="宋体"/>
          <w:bCs/>
          <w:color w:val="auto"/>
          <w:szCs w:val="21"/>
          <w:highlight w:val="none"/>
          <w:u w:val="single"/>
        </w:rPr>
        <w:t xml:space="preserve">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注册号码：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企业类型：</w:t>
      </w:r>
      <w:r>
        <w:rPr>
          <w:rFonts w:hint="eastAsia" w:ascii="宋体" w:hAnsi="宋体"/>
          <w:bCs/>
          <w:color w:val="auto"/>
          <w:szCs w:val="21"/>
          <w:highlight w:val="none"/>
          <w:u w:val="single"/>
        </w:rPr>
        <w:t xml:space="preserve">                    </w:t>
      </w:r>
    </w:p>
    <w:p>
      <w:pPr>
        <w:spacing w:line="360" w:lineRule="auto"/>
        <w:ind w:firstLine="420" w:firstLineChars="200"/>
        <w:rPr>
          <w:rFonts w:ascii="宋体" w:hAnsi="宋体"/>
          <w:b/>
          <w:color w:val="auto"/>
          <w:szCs w:val="21"/>
          <w:highlight w:val="none"/>
          <w:u w:val="single"/>
        </w:rPr>
      </w:pPr>
      <w:r>
        <w:rPr>
          <w:rFonts w:hint="eastAsia" w:ascii="宋体" w:hAnsi="宋体"/>
          <w:bCs/>
          <w:color w:val="auto"/>
          <w:szCs w:val="21"/>
          <w:highlight w:val="none"/>
        </w:rPr>
        <w:t>经营范围：</w:t>
      </w:r>
      <w:r>
        <w:rPr>
          <w:rFonts w:hint="eastAsia" w:ascii="宋体" w:hAnsi="宋体"/>
          <w:bCs/>
          <w:color w:val="auto"/>
          <w:szCs w:val="21"/>
          <w:highlight w:val="none"/>
          <w:u w:val="single"/>
        </w:rPr>
        <w:t xml:space="preserve">                    </w:t>
      </w:r>
    </w:p>
    <w:p>
      <w:pPr>
        <w:spacing w:line="360" w:lineRule="auto"/>
        <w:rPr>
          <w:rFonts w:ascii="宋体" w:hAnsi="宋体"/>
          <w:b/>
          <w:color w:val="auto"/>
          <w:szCs w:val="21"/>
          <w:highlight w:val="none"/>
        </w:rPr>
      </w:pPr>
    </w:p>
    <w:tbl>
      <w:tblPr>
        <w:tblStyle w:val="48"/>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813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731" w:hRule="atLeast"/>
          <w:jc w:val="center"/>
        </w:trPr>
        <w:tc>
          <w:tcPr>
            <w:tcW w:w="8135" w:type="dxa"/>
            <w:noWrap w:val="0"/>
            <w:vAlign w:val="center"/>
          </w:tcPr>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提示：将法定代表人身份证（正、反面）扫描件插入此处或将复印件粘贴此处。</w:t>
            </w:r>
          </w:p>
          <w:p>
            <w:pPr>
              <w:spacing w:line="360" w:lineRule="auto"/>
              <w:jc w:val="center"/>
              <w:rPr>
                <w:rFonts w:hint="eastAsia" w:ascii="宋体" w:hAnsi="宋体"/>
                <w:bCs/>
                <w:color w:val="auto"/>
                <w:szCs w:val="21"/>
                <w:highlight w:val="none"/>
                <w:u w:val="single"/>
              </w:rPr>
            </w:pPr>
          </w:p>
        </w:tc>
      </w:tr>
    </w:tbl>
    <w:p>
      <w:pPr>
        <w:spacing w:line="360" w:lineRule="auto"/>
        <w:rPr>
          <w:rFonts w:ascii="宋体" w:hAnsi="宋体"/>
          <w:color w:val="auto"/>
          <w:szCs w:val="21"/>
          <w:highlight w:val="none"/>
        </w:rPr>
      </w:pPr>
    </w:p>
    <w:p>
      <w:pPr>
        <w:spacing w:before="120" w:beforeLines="50" w:line="360" w:lineRule="auto"/>
        <w:ind w:left="4599" w:leftChars="2190"/>
        <w:rPr>
          <w:rFonts w:ascii="宋体" w:hAnsi="宋体"/>
          <w:color w:val="auto"/>
          <w:szCs w:val="21"/>
          <w:highlight w:val="none"/>
        </w:rPr>
      </w:pPr>
      <w:r>
        <w:rPr>
          <w:rFonts w:hint="eastAsia" w:ascii="宋体" w:hAnsi="宋体"/>
          <w:color w:val="auto"/>
          <w:szCs w:val="21"/>
          <w:highlight w:val="none"/>
        </w:rPr>
        <w:t>供应商（公章）：</w:t>
      </w:r>
    </w:p>
    <w:p>
      <w:pPr>
        <w:spacing w:before="120" w:beforeLines="50" w:line="360" w:lineRule="auto"/>
        <w:ind w:left="4599" w:leftChars="2190"/>
        <w:rPr>
          <w:rFonts w:ascii="宋体" w:hAnsi="宋体"/>
          <w:color w:val="auto"/>
          <w:szCs w:val="21"/>
          <w:highlight w:val="none"/>
        </w:rPr>
      </w:pPr>
      <w:r>
        <w:rPr>
          <w:rFonts w:hint="eastAsia" w:ascii="宋体" w:hAnsi="宋体"/>
          <w:color w:val="auto"/>
          <w:szCs w:val="21"/>
          <w:highlight w:val="none"/>
        </w:rPr>
        <w:t>地址：</w:t>
      </w:r>
    </w:p>
    <w:p>
      <w:pPr>
        <w:spacing w:before="50" w:line="360" w:lineRule="auto"/>
        <w:rPr>
          <w:rFonts w:hint="eastAsia" w:hAnsi="宋体"/>
          <w:color w:val="auto"/>
          <w:szCs w:val="21"/>
          <w:highlight w:val="none"/>
        </w:rPr>
      </w:pPr>
      <w:r>
        <w:rPr>
          <w:rFonts w:hint="eastAsia" w:ascii="宋体" w:hAnsi="宋体"/>
          <w:color w:val="auto"/>
          <w:szCs w:val="21"/>
          <w:highlight w:val="none"/>
        </w:rPr>
        <w:t xml:space="preserve">                                            法定代表人（签字或盖章）：</w:t>
      </w:r>
    </w:p>
    <w:p>
      <w:pPr>
        <w:spacing w:before="50" w:line="360" w:lineRule="auto"/>
        <w:rPr>
          <w:rFonts w:ascii="宋体" w:hAnsi="宋体"/>
          <w:color w:val="auto"/>
          <w:szCs w:val="21"/>
          <w:highlight w:val="none"/>
        </w:rPr>
      </w:pPr>
      <w:r>
        <w:rPr>
          <w:rFonts w:hint="eastAsia"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p>
    <w:p>
      <w:pPr>
        <w:pStyle w:val="8"/>
        <w:rPr>
          <w:rFonts w:hAnsi="宋体"/>
          <w:b/>
          <w:color w:val="auto"/>
          <w:szCs w:val="21"/>
          <w:highlight w:val="none"/>
        </w:rPr>
      </w:pPr>
      <w:r>
        <w:rPr>
          <w:rFonts w:hAnsi="宋体"/>
          <w:color w:val="auto"/>
          <w:szCs w:val="21"/>
          <w:highlight w:val="none"/>
        </w:rPr>
        <w:br w:type="page"/>
      </w:r>
      <w:bookmarkStart w:id="427" w:name="_Toc479158006"/>
      <w:r>
        <w:rPr>
          <w:rFonts w:hint="eastAsia" w:hAnsi="宋体"/>
          <w:b/>
          <w:color w:val="auto"/>
          <w:szCs w:val="21"/>
          <w:highlight w:val="none"/>
        </w:rPr>
        <w:t>4.3</w:t>
      </w:r>
      <w:bookmarkStart w:id="428" w:name="_Toc256676961"/>
      <w:r>
        <w:rPr>
          <w:rFonts w:hint="eastAsia" w:hAnsi="宋体"/>
          <w:b/>
          <w:color w:val="auto"/>
          <w:szCs w:val="21"/>
          <w:highlight w:val="none"/>
        </w:rPr>
        <w:tab/>
      </w:r>
      <w:r>
        <w:rPr>
          <w:rFonts w:hint="eastAsia" w:hAnsi="宋体"/>
          <w:b/>
          <w:color w:val="auto"/>
          <w:szCs w:val="21"/>
          <w:highlight w:val="none"/>
        </w:rPr>
        <w:t>法定代表人授权书格式</w:t>
      </w:r>
      <w:bookmarkEnd w:id="427"/>
      <w:bookmarkEnd w:id="428"/>
    </w:p>
    <w:p>
      <w:pPr>
        <w:rPr>
          <w:color w:val="auto"/>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法定代表人授权书</w:t>
      </w:r>
    </w:p>
    <w:p>
      <w:pPr>
        <w:spacing w:line="360" w:lineRule="auto"/>
        <w:rPr>
          <w:rFonts w:hAnsi="宋体"/>
          <w:color w:val="auto"/>
          <w:szCs w:val="21"/>
          <w:highlight w:val="none"/>
        </w:rPr>
      </w:pPr>
    </w:p>
    <w:p>
      <w:pPr>
        <w:spacing w:line="360" w:lineRule="auto"/>
        <w:rPr>
          <w:rFonts w:hAnsi="宋体"/>
          <w:b/>
          <w:color w:val="auto"/>
          <w:szCs w:val="21"/>
          <w:highlight w:val="none"/>
        </w:rPr>
      </w:pPr>
      <w:r>
        <w:rPr>
          <w:rFonts w:hint="eastAsia" w:hAnsi="宋体"/>
          <w:color w:val="auto"/>
          <w:szCs w:val="21"/>
          <w:highlight w:val="none"/>
        </w:rPr>
        <w:t>致：</w:t>
      </w:r>
      <w:r>
        <w:rPr>
          <w:rFonts w:hint="eastAsia" w:hAnsi="宋体"/>
          <w:b/>
          <w:color w:val="auto"/>
          <w:szCs w:val="21"/>
          <w:highlight w:val="none"/>
        </w:rPr>
        <w:t>广东省机电设备招标有限公司</w:t>
      </w:r>
    </w:p>
    <w:p>
      <w:pPr>
        <w:spacing w:line="360" w:lineRule="auto"/>
        <w:ind w:firstLine="420" w:firstLineChars="200"/>
        <w:rPr>
          <w:rFonts w:hAnsi="宋体"/>
          <w:iCs/>
          <w:color w:val="auto"/>
          <w:szCs w:val="21"/>
          <w:highlight w:val="none"/>
        </w:rPr>
      </w:pPr>
      <w:r>
        <w:rPr>
          <w:rFonts w:hint="eastAsia" w:hAnsi="宋体"/>
          <w:color w:val="auto"/>
          <w:szCs w:val="21"/>
          <w:highlight w:val="none"/>
        </w:rPr>
        <w:t>本授权书声明：</w:t>
      </w:r>
      <w:r>
        <w:rPr>
          <w:rFonts w:hint="eastAsia" w:hAnsi="宋体"/>
          <w:iCs/>
          <w:color w:val="auto"/>
          <w:szCs w:val="21"/>
          <w:highlight w:val="none"/>
          <w:u w:val="single"/>
        </w:rPr>
        <w:t xml:space="preserve">      </w:t>
      </w:r>
      <w:r>
        <w:rPr>
          <w:rFonts w:hint="eastAsia" w:hAnsi="宋体"/>
          <w:color w:val="auto"/>
          <w:szCs w:val="21"/>
          <w:highlight w:val="none"/>
        </w:rPr>
        <w:t>是注册于</w:t>
      </w:r>
      <w:r>
        <w:rPr>
          <w:rFonts w:hint="eastAsia" w:hAnsi="宋体"/>
          <w:iCs/>
          <w:color w:val="auto"/>
          <w:szCs w:val="21"/>
          <w:highlight w:val="none"/>
          <w:u w:val="single"/>
        </w:rPr>
        <w:t xml:space="preserve">（国家或地区）   </w:t>
      </w:r>
      <w:r>
        <w:rPr>
          <w:rFonts w:hint="eastAsia" w:hAnsi="宋体"/>
          <w:iCs/>
          <w:color w:val="auto"/>
          <w:szCs w:val="21"/>
          <w:highlight w:val="none"/>
        </w:rPr>
        <w:t>的</w:t>
      </w:r>
      <w:r>
        <w:rPr>
          <w:rFonts w:hint="eastAsia" w:hAnsi="宋体"/>
          <w:iCs/>
          <w:color w:val="auto"/>
          <w:szCs w:val="21"/>
          <w:highlight w:val="none"/>
          <w:u w:val="single"/>
        </w:rPr>
        <w:t xml:space="preserve">（供应商名称）     </w:t>
      </w:r>
      <w:r>
        <w:rPr>
          <w:rFonts w:hint="eastAsia" w:hAnsi="宋体"/>
          <w:iCs/>
          <w:color w:val="auto"/>
          <w:szCs w:val="21"/>
          <w:highlight w:val="none"/>
        </w:rPr>
        <w:t>的法定代表人，现任职务</w:t>
      </w:r>
      <w:r>
        <w:rPr>
          <w:rFonts w:hint="eastAsia" w:hAnsi="宋体"/>
          <w:iCs/>
          <w:color w:val="auto"/>
          <w:szCs w:val="21"/>
          <w:highlight w:val="none"/>
          <w:u w:val="single"/>
        </w:rPr>
        <w:t xml:space="preserve">      </w:t>
      </w:r>
      <w:r>
        <w:rPr>
          <w:rFonts w:hint="eastAsia" w:hAnsi="宋体"/>
          <w:iCs/>
          <w:color w:val="auto"/>
          <w:szCs w:val="21"/>
          <w:highlight w:val="none"/>
        </w:rPr>
        <w:t>，有效证件号码</w:t>
      </w:r>
      <w:r>
        <w:rPr>
          <w:rFonts w:hint="eastAsia" w:hAnsi="宋体"/>
          <w:iCs/>
          <w:color w:val="auto"/>
          <w:szCs w:val="21"/>
          <w:highlight w:val="none"/>
          <w:u w:val="single"/>
        </w:rPr>
        <w:t xml:space="preserve">         </w:t>
      </w:r>
      <w:r>
        <w:rPr>
          <w:rFonts w:hint="eastAsia" w:hAnsi="宋体"/>
          <w:iCs/>
          <w:color w:val="auto"/>
          <w:szCs w:val="21"/>
          <w:highlight w:val="none"/>
        </w:rPr>
        <w:t>。现授权</w:t>
      </w:r>
      <w:r>
        <w:rPr>
          <w:rFonts w:hint="eastAsia" w:hAnsi="宋体"/>
          <w:iCs/>
          <w:color w:val="auto"/>
          <w:szCs w:val="21"/>
          <w:highlight w:val="none"/>
          <w:u w:val="single"/>
        </w:rPr>
        <w:t xml:space="preserve">   （姓名、职务）    </w:t>
      </w:r>
      <w:r>
        <w:rPr>
          <w:rFonts w:hint="eastAsia" w:hAnsi="宋体"/>
          <w:iCs/>
          <w:color w:val="auto"/>
          <w:szCs w:val="21"/>
          <w:highlight w:val="none"/>
        </w:rPr>
        <w:t>作为我公司的全权代理人，就</w:t>
      </w:r>
      <w:bookmarkStart w:id="429" w:name="fsmingc_10"/>
      <w:r>
        <w:rPr>
          <w:rFonts w:hint="eastAsia" w:hAnsi="宋体"/>
          <w:iCs/>
          <w:color w:val="auto"/>
          <w:szCs w:val="21"/>
          <w:highlight w:val="none"/>
          <w:u w:val="single"/>
        </w:rPr>
        <w:t xml:space="preserve">  （项目名称  ）</w:t>
      </w:r>
      <w:bookmarkEnd w:id="429"/>
      <w:r>
        <w:rPr>
          <w:rFonts w:hint="eastAsia" w:hAnsi="宋体"/>
          <w:iCs/>
          <w:color w:val="auto"/>
          <w:szCs w:val="21"/>
          <w:highlight w:val="none"/>
        </w:rPr>
        <w:t>项目采购(项目编号为</w:t>
      </w:r>
      <w:bookmarkStart w:id="430" w:name="fszhaobwjbh_9"/>
      <w:r>
        <w:rPr>
          <w:rFonts w:hint="eastAsia" w:hAnsi="宋体"/>
          <w:iCs/>
          <w:color w:val="auto"/>
          <w:szCs w:val="21"/>
          <w:highlight w:val="none"/>
          <w:u w:val="single"/>
        </w:rPr>
        <w:t xml:space="preserve">       </w:t>
      </w:r>
      <w:bookmarkEnd w:id="430"/>
      <w:r>
        <w:rPr>
          <w:rFonts w:hint="eastAsia" w:hAnsi="宋体"/>
          <w:iCs/>
          <w:color w:val="auto"/>
          <w:szCs w:val="21"/>
          <w:highlight w:val="none"/>
          <w:u w:val="single"/>
        </w:rPr>
        <w:t xml:space="preserve">  </w:t>
      </w:r>
      <w:r>
        <w:rPr>
          <w:rFonts w:hint="eastAsia" w:hAnsi="宋体"/>
          <w:iCs/>
          <w:color w:val="auto"/>
          <w:szCs w:val="21"/>
          <w:highlight w:val="none"/>
        </w:rPr>
        <w:t>)的报价和合同执行，以我方的名义处理一切与之有关的事宜。</w:t>
      </w:r>
    </w:p>
    <w:p>
      <w:pPr>
        <w:spacing w:line="360" w:lineRule="auto"/>
        <w:ind w:firstLine="420" w:firstLineChars="200"/>
        <w:rPr>
          <w:rFonts w:ascii="宋体" w:hAnsi="宋体"/>
          <w:iCs/>
          <w:color w:val="auto"/>
          <w:szCs w:val="21"/>
          <w:highlight w:val="none"/>
        </w:rPr>
      </w:pPr>
      <w:r>
        <w:rPr>
          <w:rFonts w:hint="eastAsia" w:ascii="宋体" w:hAnsi="宋体"/>
          <w:iCs/>
          <w:color w:val="auto"/>
          <w:szCs w:val="21"/>
          <w:highlight w:val="none"/>
        </w:rPr>
        <w:t>本授权书于</w:t>
      </w:r>
      <w:r>
        <w:rPr>
          <w:rFonts w:hint="eastAsia" w:ascii="宋体" w:hAnsi="宋体"/>
          <w:iCs/>
          <w:color w:val="auto"/>
          <w:szCs w:val="21"/>
          <w:highlight w:val="none"/>
          <w:u w:val="single"/>
        </w:rPr>
        <w:t xml:space="preserve">     </w:t>
      </w:r>
      <w:r>
        <w:rPr>
          <w:rFonts w:hint="eastAsia" w:ascii="宋体" w:hAnsi="宋体"/>
          <w:iCs/>
          <w:color w:val="auto"/>
          <w:szCs w:val="21"/>
          <w:highlight w:val="none"/>
        </w:rPr>
        <w:t xml:space="preserve"> 年</w:t>
      </w:r>
      <w:r>
        <w:rPr>
          <w:rFonts w:hint="eastAsia" w:ascii="宋体" w:hAnsi="宋体"/>
          <w:iCs/>
          <w:color w:val="auto"/>
          <w:szCs w:val="21"/>
          <w:highlight w:val="none"/>
          <w:u w:val="single"/>
        </w:rPr>
        <w:t xml:space="preserve">    </w:t>
      </w:r>
      <w:r>
        <w:rPr>
          <w:rFonts w:hint="eastAsia" w:ascii="宋体" w:hAnsi="宋体"/>
          <w:iCs/>
          <w:color w:val="auto"/>
          <w:szCs w:val="21"/>
          <w:highlight w:val="none"/>
        </w:rPr>
        <w:t>月</w:t>
      </w:r>
      <w:r>
        <w:rPr>
          <w:rFonts w:hint="eastAsia" w:ascii="宋体" w:hAnsi="宋体"/>
          <w:iCs/>
          <w:color w:val="auto"/>
          <w:szCs w:val="21"/>
          <w:highlight w:val="none"/>
          <w:u w:val="single"/>
        </w:rPr>
        <w:t xml:space="preserve">    </w:t>
      </w:r>
      <w:r>
        <w:rPr>
          <w:rFonts w:hint="eastAsia" w:ascii="宋体" w:hAnsi="宋体"/>
          <w:iCs/>
          <w:color w:val="auto"/>
          <w:szCs w:val="21"/>
          <w:highlight w:val="none"/>
        </w:rPr>
        <w:t>日签字生效，特此声明。</w:t>
      </w:r>
    </w:p>
    <w:p>
      <w:pPr>
        <w:spacing w:line="360" w:lineRule="auto"/>
        <w:rPr>
          <w:rFonts w:ascii="宋体" w:hAnsi="宋体"/>
          <w:b/>
          <w:color w:val="auto"/>
          <w:szCs w:val="21"/>
          <w:highlight w:val="none"/>
        </w:rPr>
      </w:pPr>
      <w:r>
        <w:rPr>
          <w:rFonts w:ascii="宋体" w:hAnsi="宋体"/>
          <w:b/>
          <w:color w:val="auto"/>
          <w:szCs w:val="21"/>
          <w:highlight w:val="none"/>
        </w:rPr>
        <w:t xml:space="preserve"> </w:t>
      </w:r>
    </w:p>
    <w:tbl>
      <w:tblPr>
        <w:tblStyle w:val="48"/>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813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731" w:hRule="atLeast"/>
          <w:jc w:val="center"/>
        </w:trPr>
        <w:tc>
          <w:tcPr>
            <w:tcW w:w="8135" w:type="dxa"/>
            <w:noWrap w:val="0"/>
            <w:vAlign w:val="center"/>
          </w:tcPr>
          <w:p>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提示：将被授权人身份证（正、反面）扫描件插入此处或将复印件粘贴此处。</w:t>
            </w:r>
          </w:p>
          <w:p>
            <w:pPr>
              <w:spacing w:line="360" w:lineRule="auto"/>
              <w:jc w:val="center"/>
              <w:rPr>
                <w:rFonts w:hint="eastAsia" w:ascii="宋体" w:hAnsi="宋体"/>
                <w:bCs/>
                <w:color w:val="auto"/>
                <w:szCs w:val="21"/>
                <w:highlight w:val="none"/>
                <w:u w:val="single"/>
              </w:rPr>
            </w:pPr>
          </w:p>
        </w:tc>
      </w:tr>
    </w:tbl>
    <w:p>
      <w:pPr>
        <w:spacing w:before="240" w:beforeLines="100" w:line="360" w:lineRule="auto"/>
        <w:rPr>
          <w:rFonts w:hint="eastAsia" w:ascii="宋体" w:hAnsi="宋体"/>
          <w:bCs/>
          <w:color w:val="auto"/>
          <w:szCs w:val="21"/>
          <w:highlight w:val="none"/>
          <w:u w:val="single"/>
        </w:rPr>
      </w:pPr>
    </w:p>
    <w:p>
      <w:pPr>
        <w:spacing w:before="120" w:beforeLines="50" w:line="360" w:lineRule="auto"/>
        <w:ind w:left="4599" w:leftChars="2190"/>
        <w:rPr>
          <w:rFonts w:ascii="宋体" w:hAnsi="宋体"/>
          <w:color w:val="auto"/>
          <w:szCs w:val="21"/>
          <w:highlight w:val="none"/>
        </w:rPr>
      </w:pPr>
      <w:r>
        <w:rPr>
          <w:rFonts w:hint="eastAsia" w:ascii="宋体" w:hAnsi="宋体"/>
          <w:color w:val="auto"/>
          <w:szCs w:val="21"/>
          <w:highlight w:val="none"/>
        </w:rPr>
        <w:t>供应商（公章）：</w:t>
      </w:r>
    </w:p>
    <w:p>
      <w:pPr>
        <w:spacing w:before="120" w:beforeLines="50"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pPr>
        <w:tabs>
          <w:tab w:val="left" w:pos="3780"/>
        </w:tabs>
        <w:spacing w:before="120" w:beforeLines="50" w:line="360" w:lineRule="auto"/>
        <w:ind w:left="4599" w:leftChars="2190"/>
        <w:rPr>
          <w:rFonts w:ascii="宋体" w:hAnsi="宋体"/>
          <w:color w:val="auto"/>
          <w:szCs w:val="21"/>
          <w:highlight w:val="none"/>
        </w:rPr>
      </w:pPr>
      <w:r>
        <w:rPr>
          <w:rFonts w:hint="eastAsia" w:ascii="宋体" w:hAnsi="宋体"/>
          <w:color w:val="auto"/>
          <w:szCs w:val="21"/>
          <w:highlight w:val="none"/>
        </w:rPr>
        <w:t>法定代表人（签字或盖章）：</w:t>
      </w:r>
    </w:p>
    <w:p>
      <w:pPr>
        <w:spacing w:before="120" w:beforeLines="50" w:line="360" w:lineRule="auto"/>
        <w:ind w:left="4599" w:leftChars="2190"/>
        <w:rPr>
          <w:rFonts w:hint="eastAsia" w:ascii="宋体" w:hAnsi="宋体"/>
          <w:color w:val="auto"/>
          <w:szCs w:val="21"/>
          <w:highlight w:val="none"/>
        </w:rPr>
      </w:pPr>
      <w:r>
        <w:rPr>
          <w:rFonts w:hint="eastAsia" w:ascii="宋体" w:hAnsi="宋体"/>
          <w:color w:val="auto"/>
          <w:spacing w:val="20"/>
          <w:szCs w:val="21"/>
          <w:highlight w:val="none"/>
        </w:rPr>
        <w:t>被授权人（签字或盖章）</w:t>
      </w:r>
      <w:r>
        <w:rPr>
          <w:rFonts w:hint="eastAsia" w:ascii="宋体" w:hAnsi="宋体"/>
          <w:color w:val="auto"/>
          <w:szCs w:val="21"/>
          <w:highlight w:val="none"/>
        </w:rPr>
        <w:t>：</w:t>
      </w:r>
    </w:p>
    <w:p>
      <w:pPr>
        <w:spacing w:before="120" w:beforeLines="50" w:line="360" w:lineRule="auto"/>
        <w:ind w:left="4599" w:leftChars="2190"/>
        <w:rPr>
          <w:rFonts w:ascii="宋体" w:hAnsi="宋体"/>
          <w:color w:val="auto"/>
          <w:szCs w:val="21"/>
          <w:highlight w:val="none"/>
        </w:rPr>
      </w:pPr>
      <w:r>
        <w:rPr>
          <w:rFonts w:hint="eastAsia" w:ascii="宋体" w:hAnsi="宋体"/>
          <w:color w:val="auto"/>
          <w:spacing w:val="20"/>
          <w:szCs w:val="21"/>
          <w:highlight w:val="none"/>
        </w:rPr>
        <w:t>被授权人</w:t>
      </w:r>
      <w:r>
        <w:rPr>
          <w:rFonts w:hint="eastAsia" w:ascii="宋体" w:hAnsi="宋体"/>
          <w:color w:val="auto"/>
          <w:szCs w:val="21"/>
          <w:highlight w:val="none"/>
        </w:rPr>
        <w:t>联系手机：</w:t>
      </w:r>
    </w:p>
    <w:p>
      <w:pPr>
        <w:spacing w:before="120" w:beforeLines="50" w:line="360" w:lineRule="auto"/>
        <w:rPr>
          <w:rFonts w:ascii="宋体" w:hAnsi="宋体"/>
          <w:color w:val="auto"/>
          <w:szCs w:val="21"/>
          <w:highlight w:val="none"/>
        </w:rPr>
      </w:pPr>
      <w:r>
        <w:rPr>
          <w:rFonts w:hint="eastAsia" w:ascii="宋体" w:hAnsi="宋体"/>
          <w:color w:val="auto"/>
          <w:szCs w:val="21"/>
          <w:highlight w:val="none"/>
        </w:rPr>
        <w:t xml:space="preserve">                                            日期：</w:t>
      </w:r>
    </w:p>
    <w:p>
      <w:pPr>
        <w:pStyle w:val="8"/>
        <w:rPr>
          <w:rFonts w:hAnsi="宋体"/>
          <w:b/>
          <w:color w:val="auto"/>
          <w:szCs w:val="21"/>
          <w:highlight w:val="none"/>
        </w:rPr>
      </w:pPr>
      <w:r>
        <w:rPr>
          <w:rFonts w:hAnsi="宋体"/>
          <w:color w:val="auto"/>
          <w:szCs w:val="21"/>
          <w:highlight w:val="none"/>
        </w:rPr>
        <w:br w:type="page"/>
      </w:r>
      <w:r>
        <w:rPr>
          <w:rFonts w:hint="eastAsia" w:hAnsi="宋体"/>
          <w:b/>
          <w:color w:val="auto"/>
          <w:szCs w:val="21"/>
          <w:highlight w:val="none"/>
        </w:rPr>
        <w:t>4.4  资格性和符合性审查要求的其他证明文件</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1.……</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2.……</w:t>
      </w:r>
    </w:p>
    <w:p>
      <w:pPr>
        <w:spacing w:line="360" w:lineRule="auto"/>
        <w:ind w:left="850" w:leftChars="405"/>
        <w:rPr>
          <w:rFonts w:ascii="宋体" w:hAnsi="宋体"/>
          <w:i/>
          <w:color w:val="auto"/>
          <w:szCs w:val="21"/>
          <w:highlight w:val="none"/>
        </w:rPr>
      </w:pPr>
      <w:r>
        <w:rPr>
          <w:rFonts w:hint="eastAsia" w:ascii="宋体" w:hAnsi="宋体"/>
          <w:i/>
          <w:color w:val="auto"/>
          <w:szCs w:val="21"/>
          <w:highlight w:val="none"/>
        </w:rPr>
        <w:t>3.……</w:t>
      </w:r>
    </w:p>
    <w:p>
      <w:pPr>
        <w:spacing w:before="120" w:beforeLines="50" w:line="360" w:lineRule="auto"/>
        <w:rPr>
          <w:rFonts w:ascii="宋体" w:hAnsi="宋体"/>
          <w:b/>
          <w:color w:val="auto"/>
          <w:szCs w:val="21"/>
          <w:highlight w:val="none"/>
        </w:rPr>
      </w:pPr>
    </w:p>
    <w:p>
      <w:pPr>
        <w:spacing w:line="360" w:lineRule="auto"/>
        <w:rPr>
          <w:rFonts w:ascii="宋体" w:hAnsi="宋体"/>
          <w:color w:val="auto"/>
          <w:szCs w:val="21"/>
          <w:highlight w:val="none"/>
        </w:rPr>
      </w:pPr>
    </w:p>
    <w:p>
      <w:pPr>
        <w:pStyle w:val="8"/>
        <w:rPr>
          <w:rFonts w:hAnsi="宋体"/>
          <w:b/>
          <w:color w:val="auto"/>
          <w:szCs w:val="21"/>
          <w:highlight w:val="none"/>
        </w:rPr>
      </w:pPr>
      <w:bookmarkStart w:id="431" w:name="_Toc479158008"/>
      <w:bookmarkStart w:id="432" w:name="_Toc479158007"/>
      <w:r>
        <w:rPr>
          <w:rFonts w:hint="eastAsia" w:hAnsi="宋体"/>
          <w:b/>
          <w:color w:val="auto"/>
          <w:szCs w:val="21"/>
          <w:highlight w:val="none"/>
        </w:rPr>
        <w:t>4.5 名称变更</w:t>
      </w:r>
      <w:bookmarkEnd w:id="431"/>
    </w:p>
    <w:p>
      <w:pPr>
        <w:pStyle w:val="167"/>
        <w:spacing w:before="0" w:after="0" w:line="360" w:lineRule="auto"/>
        <w:ind w:firstLine="345" w:firstLineChars="150"/>
        <w:rPr>
          <w:rFonts w:hint="eastAsia" w:ascii="宋体" w:hAnsi="宋体"/>
          <w:color w:val="auto"/>
          <w:sz w:val="21"/>
          <w:szCs w:val="21"/>
          <w:highlight w:val="none"/>
        </w:rPr>
      </w:pPr>
      <w:r>
        <w:rPr>
          <w:rFonts w:hint="eastAsia" w:ascii="宋体" w:hAnsi="宋体"/>
          <w:color w:val="auto"/>
          <w:sz w:val="21"/>
          <w:szCs w:val="21"/>
          <w:highlight w:val="none"/>
        </w:rPr>
        <w:t>供应商如果有名称变更的，应提供由工商管理部门出具的变更证明文件。</w:t>
      </w:r>
    </w:p>
    <w:p>
      <w:pPr>
        <w:pStyle w:val="167"/>
        <w:spacing w:before="0" w:after="0" w:line="360" w:lineRule="auto"/>
        <w:ind w:firstLine="345" w:firstLineChars="150"/>
        <w:rPr>
          <w:rFonts w:hint="eastAsia" w:ascii="宋体" w:hAnsi="宋体"/>
          <w:color w:val="auto"/>
          <w:sz w:val="21"/>
          <w:szCs w:val="21"/>
          <w:highlight w:val="none"/>
        </w:rPr>
      </w:pPr>
    </w:p>
    <w:p>
      <w:pPr>
        <w:pStyle w:val="167"/>
        <w:spacing w:before="0" w:after="0" w:line="360" w:lineRule="auto"/>
        <w:ind w:firstLine="345" w:firstLineChars="150"/>
        <w:rPr>
          <w:rFonts w:ascii="宋体" w:hAnsi="宋体"/>
          <w:color w:val="auto"/>
          <w:sz w:val="21"/>
          <w:szCs w:val="21"/>
          <w:highlight w:val="none"/>
        </w:rPr>
      </w:pPr>
    </w:p>
    <w:p>
      <w:pPr>
        <w:pStyle w:val="8"/>
        <w:rPr>
          <w:rFonts w:hint="eastAsia" w:hAnsi="宋体"/>
          <w:b/>
          <w:color w:val="auto"/>
          <w:szCs w:val="21"/>
          <w:highlight w:val="none"/>
        </w:rPr>
      </w:pPr>
      <w:r>
        <w:rPr>
          <w:rFonts w:hint="eastAsia" w:hAnsi="宋体"/>
          <w:b/>
          <w:color w:val="auto"/>
          <w:szCs w:val="21"/>
          <w:highlight w:val="none"/>
        </w:rPr>
        <w:br w:type="page"/>
      </w:r>
      <w:r>
        <w:rPr>
          <w:rFonts w:hAnsi="宋体"/>
          <w:b/>
          <w:color w:val="auto"/>
          <w:szCs w:val="21"/>
          <w:highlight w:val="none"/>
        </w:rPr>
        <w:t>4.</w:t>
      </w:r>
      <w:r>
        <w:rPr>
          <w:rFonts w:hint="eastAsia" w:hAnsi="宋体"/>
          <w:b/>
          <w:color w:val="auto"/>
          <w:szCs w:val="21"/>
          <w:highlight w:val="none"/>
          <w:lang w:val="en-US" w:eastAsia="zh-CN"/>
        </w:rPr>
        <w:t>6</w:t>
      </w:r>
      <w:r>
        <w:rPr>
          <w:rFonts w:hint="eastAsia" w:hAnsi="宋体"/>
          <w:b/>
          <w:color w:val="auto"/>
          <w:szCs w:val="21"/>
          <w:highlight w:val="none"/>
        </w:rPr>
        <w:t xml:space="preserve"> 供应商资质及荣誉证书</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7"/>
        <w:gridCol w:w="1548"/>
        <w:gridCol w:w="1548"/>
        <w:gridCol w:w="128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序号</w:t>
            </w:r>
          </w:p>
        </w:tc>
        <w:tc>
          <w:tcPr>
            <w:tcW w:w="1547"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证书名称</w:t>
            </w:r>
          </w:p>
        </w:tc>
        <w:tc>
          <w:tcPr>
            <w:tcW w:w="1548"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发证单位</w:t>
            </w:r>
          </w:p>
        </w:tc>
        <w:tc>
          <w:tcPr>
            <w:tcW w:w="1548"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证书等级</w:t>
            </w:r>
          </w:p>
        </w:tc>
        <w:tc>
          <w:tcPr>
            <w:tcW w:w="1289"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证书有效期</w:t>
            </w: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1</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2</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3</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4</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rFonts w:hint="eastAsia"/>
                <w:color w:val="auto"/>
                <w:highlight w:val="none"/>
              </w:rPr>
              <w:t>5</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r>
              <w:rPr>
                <w:rFonts w:hint="eastAsia" w:ascii="宋体" w:cs="宋体"/>
                <w:color w:val="auto"/>
                <w:szCs w:val="21"/>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noWrap w:val="0"/>
            <w:vAlign w:val="center"/>
          </w:tcPr>
          <w:p>
            <w:pPr>
              <w:pStyle w:val="10"/>
              <w:ind w:firstLine="0"/>
              <w:jc w:val="center"/>
              <w:rPr>
                <w:rFonts w:hint="eastAsia"/>
                <w:color w:val="auto"/>
                <w:highlight w:val="none"/>
              </w:rPr>
            </w:pPr>
            <w:r>
              <w:rPr>
                <w:color w:val="auto"/>
                <w:highlight w:val="none"/>
              </w:rPr>
              <w:t>…</w:t>
            </w:r>
          </w:p>
        </w:tc>
        <w:tc>
          <w:tcPr>
            <w:tcW w:w="1547"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548" w:type="dxa"/>
            <w:noWrap w:val="0"/>
            <w:vAlign w:val="center"/>
          </w:tcPr>
          <w:p>
            <w:pPr>
              <w:pStyle w:val="10"/>
              <w:ind w:firstLine="0"/>
              <w:jc w:val="center"/>
              <w:rPr>
                <w:rFonts w:hint="eastAsia"/>
                <w:color w:val="auto"/>
                <w:highlight w:val="none"/>
              </w:rPr>
            </w:pPr>
          </w:p>
        </w:tc>
        <w:tc>
          <w:tcPr>
            <w:tcW w:w="1289" w:type="dxa"/>
            <w:noWrap w:val="0"/>
            <w:vAlign w:val="center"/>
          </w:tcPr>
          <w:p>
            <w:pPr>
              <w:pStyle w:val="10"/>
              <w:ind w:firstLine="0"/>
              <w:jc w:val="center"/>
              <w:rPr>
                <w:rFonts w:hint="eastAsia"/>
                <w:color w:val="auto"/>
                <w:highlight w:val="none"/>
              </w:rPr>
            </w:pPr>
          </w:p>
        </w:tc>
        <w:tc>
          <w:tcPr>
            <w:tcW w:w="2431" w:type="dxa"/>
            <w:noWrap w:val="0"/>
            <w:vAlign w:val="center"/>
          </w:tcPr>
          <w:p>
            <w:pPr>
              <w:pStyle w:val="10"/>
              <w:ind w:firstLine="0"/>
              <w:jc w:val="center"/>
              <w:rPr>
                <w:rFonts w:hint="eastAsia"/>
                <w:color w:val="auto"/>
                <w:highlight w:val="none"/>
              </w:rPr>
            </w:pPr>
          </w:p>
        </w:tc>
      </w:tr>
    </w:tbl>
    <w:p>
      <w:pPr>
        <w:pStyle w:val="10"/>
        <w:rPr>
          <w:rFonts w:hint="eastAsia"/>
          <w:color w:val="auto"/>
          <w:highlight w:val="none"/>
        </w:rPr>
      </w:pPr>
      <w:r>
        <w:rPr>
          <w:rFonts w:hint="eastAsia" w:ascii="宋体" w:cs="宋体"/>
          <w:color w:val="auto"/>
          <w:szCs w:val="21"/>
          <w:highlight w:val="none"/>
        </w:rPr>
        <w:t>要求：请提供本表所列的证书资料。</w:t>
      </w:r>
    </w:p>
    <w:p>
      <w:pPr>
        <w:spacing w:line="360" w:lineRule="auto"/>
        <w:rPr>
          <w:rFonts w:ascii="宋体" w:hAnsi="宋体"/>
          <w:color w:val="auto"/>
          <w:szCs w:val="21"/>
          <w:highlight w:val="none"/>
        </w:rPr>
      </w:pPr>
    </w:p>
    <w:p>
      <w:pPr>
        <w:pStyle w:val="7"/>
        <w:keepLines w:val="0"/>
        <w:widowControl w:val="0"/>
        <w:tabs>
          <w:tab w:val="left" w:pos="851"/>
        </w:tabs>
        <w:adjustRightInd/>
        <w:snapToGrid/>
        <w:jc w:val="both"/>
        <w:rPr>
          <w:rFonts w:hint="eastAsia" w:hAnsi="宋体"/>
          <w:b/>
          <w:color w:val="auto"/>
          <w:sz w:val="24"/>
          <w:szCs w:val="24"/>
          <w:highlight w:val="none"/>
        </w:rPr>
      </w:pPr>
      <w:r>
        <w:rPr>
          <w:rFonts w:hAnsi="宋体"/>
          <w:b/>
          <w:color w:val="auto"/>
          <w:szCs w:val="21"/>
          <w:highlight w:val="none"/>
        </w:rPr>
        <w:br w:type="page"/>
      </w:r>
      <w:bookmarkEnd w:id="432"/>
      <w:bookmarkStart w:id="433" w:name="_Toc13408"/>
      <w:bookmarkStart w:id="434" w:name="_Toc2074437"/>
      <w:bookmarkStart w:id="435" w:name="_Toc509392337"/>
      <w:r>
        <w:rPr>
          <w:rFonts w:hint="eastAsia" w:hAnsi="宋体"/>
          <w:b/>
          <w:color w:val="auto"/>
          <w:sz w:val="24"/>
          <w:szCs w:val="24"/>
          <w:highlight w:val="none"/>
        </w:rPr>
        <w:t>5. 供应商同类项目经验</w:t>
      </w:r>
      <w:bookmarkEnd w:id="433"/>
      <w:bookmarkEnd w:id="434"/>
      <w:bookmarkEnd w:id="435"/>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供应商同类项目经验</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82"/>
        <w:gridCol w:w="1268"/>
        <w:gridCol w:w="1245"/>
        <w:gridCol w:w="1770"/>
        <w:gridCol w:w="1317"/>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39"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282"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业主名称</w:t>
            </w:r>
          </w:p>
        </w:tc>
        <w:tc>
          <w:tcPr>
            <w:tcW w:w="1268"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项目名称</w:t>
            </w:r>
          </w:p>
        </w:tc>
        <w:tc>
          <w:tcPr>
            <w:tcW w:w="1245"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项目内容</w:t>
            </w:r>
          </w:p>
        </w:tc>
        <w:tc>
          <w:tcPr>
            <w:tcW w:w="1770"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合同金额</w:t>
            </w:r>
          </w:p>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（人民币万元）</w:t>
            </w:r>
          </w:p>
        </w:tc>
        <w:tc>
          <w:tcPr>
            <w:tcW w:w="1317"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签约或完成时间</w:t>
            </w:r>
          </w:p>
        </w:tc>
        <w:tc>
          <w:tcPr>
            <w:tcW w:w="1376"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业主联系人及联系电话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1</w:t>
            </w:r>
          </w:p>
        </w:tc>
        <w:tc>
          <w:tcPr>
            <w:tcW w:w="1282" w:type="dxa"/>
            <w:noWrap w:val="0"/>
            <w:vAlign w:val="top"/>
          </w:tcPr>
          <w:p>
            <w:pPr>
              <w:pStyle w:val="10"/>
              <w:snapToGrid w:val="0"/>
              <w:spacing w:line="360" w:lineRule="auto"/>
              <w:ind w:firstLine="0"/>
              <w:rPr>
                <w:rFonts w:ascii="宋体" w:hAnsi="宋体"/>
                <w:b/>
                <w:color w:val="auto"/>
                <w:szCs w:val="21"/>
                <w:highlight w:val="none"/>
              </w:rPr>
            </w:pPr>
          </w:p>
        </w:tc>
        <w:tc>
          <w:tcPr>
            <w:tcW w:w="1268" w:type="dxa"/>
            <w:noWrap w:val="0"/>
            <w:vAlign w:val="top"/>
          </w:tcPr>
          <w:p>
            <w:pPr>
              <w:pStyle w:val="10"/>
              <w:snapToGrid w:val="0"/>
              <w:spacing w:line="360" w:lineRule="auto"/>
              <w:ind w:firstLine="0"/>
              <w:rPr>
                <w:rFonts w:ascii="宋体" w:hAnsi="宋体"/>
                <w:b/>
                <w:color w:val="auto"/>
                <w:szCs w:val="21"/>
                <w:highlight w:val="none"/>
              </w:rPr>
            </w:pPr>
          </w:p>
        </w:tc>
        <w:tc>
          <w:tcPr>
            <w:tcW w:w="1245" w:type="dxa"/>
            <w:noWrap w:val="0"/>
            <w:vAlign w:val="top"/>
          </w:tcPr>
          <w:p>
            <w:pPr>
              <w:pStyle w:val="10"/>
              <w:snapToGrid w:val="0"/>
              <w:spacing w:line="360" w:lineRule="auto"/>
              <w:ind w:firstLine="0"/>
              <w:rPr>
                <w:rFonts w:ascii="宋体" w:hAnsi="宋体"/>
                <w:b/>
                <w:color w:val="auto"/>
                <w:szCs w:val="21"/>
                <w:highlight w:val="none"/>
              </w:rPr>
            </w:pPr>
          </w:p>
        </w:tc>
        <w:tc>
          <w:tcPr>
            <w:tcW w:w="1770" w:type="dxa"/>
            <w:noWrap w:val="0"/>
            <w:vAlign w:val="top"/>
          </w:tcPr>
          <w:p>
            <w:pPr>
              <w:pStyle w:val="10"/>
              <w:snapToGrid w:val="0"/>
              <w:spacing w:line="360" w:lineRule="auto"/>
              <w:ind w:firstLine="0"/>
              <w:rPr>
                <w:rFonts w:ascii="宋体" w:hAnsi="宋体"/>
                <w:b/>
                <w:color w:val="auto"/>
                <w:szCs w:val="21"/>
                <w:highlight w:val="none"/>
              </w:rPr>
            </w:pPr>
          </w:p>
        </w:tc>
        <w:tc>
          <w:tcPr>
            <w:tcW w:w="1317" w:type="dxa"/>
            <w:noWrap w:val="0"/>
            <w:vAlign w:val="top"/>
          </w:tcPr>
          <w:p>
            <w:pPr>
              <w:pStyle w:val="10"/>
              <w:snapToGrid w:val="0"/>
              <w:spacing w:line="360" w:lineRule="auto"/>
              <w:ind w:firstLine="0"/>
              <w:rPr>
                <w:rFonts w:ascii="宋体" w:hAnsi="宋体"/>
                <w:b/>
                <w:color w:val="auto"/>
                <w:szCs w:val="21"/>
                <w:highlight w:val="none"/>
              </w:rPr>
            </w:pPr>
          </w:p>
        </w:tc>
        <w:tc>
          <w:tcPr>
            <w:tcW w:w="1376" w:type="dxa"/>
            <w:noWrap w:val="0"/>
            <w:vAlign w:val="top"/>
          </w:tcPr>
          <w:p>
            <w:pPr>
              <w:pStyle w:val="10"/>
              <w:snapToGrid w:val="0"/>
              <w:spacing w:line="360" w:lineRule="auto"/>
              <w:ind w:firstLine="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2</w:t>
            </w:r>
          </w:p>
        </w:tc>
        <w:tc>
          <w:tcPr>
            <w:tcW w:w="1282" w:type="dxa"/>
            <w:noWrap w:val="0"/>
            <w:vAlign w:val="top"/>
          </w:tcPr>
          <w:p>
            <w:pPr>
              <w:pStyle w:val="10"/>
              <w:snapToGrid w:val="0"/>
              <w:spacing w:line="360" w:lineRule="auto"/>
              <w:ind w:firstLine="0"/>
              <w:rPr>
                <w:rFonts w:ascii="宋体" w:hAnsi="宋体"/>
                <w:b/>
                <w:color w:val="auto"/>
                <w:szCs w:val="21"/>
                <w:highlight w:val="none"/>
              </w:rPr>
            </w:pPr>
          </w:p>
        </w:tc>
        <w:tc>
          <w:tcPr>
            <w:tcW w:w="1268" w:type="dxa"/>
            <w:noWrap w:val="0"/>
            <w:vAlign w:val="top"/>
          </w:tcPr>
          <w:p>
            <w:pPr>
              <w:pStyle w:val="10"/>
              <w:snapToGrid w:val="0"/>
              <w:spacing w:line="360" w:lineRule="auto"/>
              <w:ind w:firstLine="0"/>
              <w:rPr>
                <w:rFonts w:ascii="宋体" w:hAnsi="宋体"/>
                <w:b/>
                <w:color w:val="auto"/>
                <w:szCs w:val="21"/>
                <w:highlight w:val="none"/>
              </w:rPr>
            </w:pPr>
          </w:p>
        </w:tc>
        <w:tc>
          <w:tcPr>
            <w:tcW w:w="1245" w:type="dxa"/>
            <w:noWrap w:val="0"/>
            <w:vAlign w:val="top"/>
          </w:tcPr>
          <w:p>
            <w:pPr>
              <w:pStyle w:val="10"/>
              <w:snapToGrid w:val="0"/>
              <w:spacing w:line="360" w:lineRule="auto"/>
              <w:ind w:firstLine="0"/>
              <w:rPr>
                <w:rFonts w:ascii="宋体" w:hAnsi="宋体"/>
                <w:b/>
                <w:color w:val="auto"/>
                <w:szCs w:val="21"/>
                <w:highlight w:val="none"/>
              </w:rPr>
            </w:pPr>
          </w:p>
        </w:tc>
        <w:tc>
          <w:tcPr>
            <w:tcW w:w="1770" w:type="dxa"/>
            <w:noWrap w:val="0"/>
            <w:vAlign w:val="top"/>
          </w:tcPr>
          <w:p>
            <w:pPr>
              <w:pStyle w:val="10"/>
              <w:snapToGrid w:val="0"/>
              <w:spacing w:line="360" w:lineRule="auto"/>
              <w:ind w:firstLine="0"/>
              <w:rPr>
                <w:rFonts w:ascii="宋体" w:hAnsi="宋体"/>
                <w:b/>
                <w:color w:val="auto"/>
                <w:szCs w:val="21"/>
                <w:highlight w:val="none"/>
              </w:rPr>
            </w:pPr>
          </w:p>
        </w:tc>
        <w:tc>
          <w:tcPr>
            <w:tcW w:w="1317" w:type="dxa"/>
            <w:noWrap w:val="0"/>
            <w:vAlign w:val="top"/>
          </w:tcPr>
          <w:p>
            <w:pPr>
              <w:pStyle w:val="10"/>
              <w:snapToGrid w:val="0"/>
              <w:spacing w:line="360" w:lineRule="auto"/>
              <w:ind w:firstLine="0"/>
              <w:rPr>
                <w:rFonts w:ascii="宋体" w:hAnsi="宋体"/>
                <w:b/>
                <w:color w:val="auto"/>
                <w:szCs w:val="21"/>
                <w:highlight w:val="none"/>
              </w:rPr>
            </w:pPr>
          </w:p>
        </w:tc>
        <w:tc>
          <w:tcPr>
            <w:tcW w:w="1376" w:type="dxa"/>
            <w:noWrap w:val="0"/>
            <w:vAlign w:val="top"/>
          </w:tcPr>
          <w:p>
            <w:pPr>
              <w:pStyle w:val="10"/>
              <w:snapToGrid w:val="0"/>
              <w:spacing w:line="360" w:lineRule="auto"/>
              <w:ind w:firstLine="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3</w:t>
            </w:r>
          </w:p>
        </w:tc>
        <w:tc>
          <w:tcPr>
            <w:tcW w:w="1282" w:type="dxa"/>
            <w:noWrap w:val="0"/>
            <w:vAlign w:val="top"/>
          </w:tcPr>
          <w:p>
            <w:pPr>
              <w:pStyle w:val="10"/>
              <w:snapToGrid w:val="0"/>
              <w:spacing w:line="360" w:lineRule="auto"/>
              <w:ind w:firstLine="0"/>
              <w:rPr>
                <w:rFonts w:ascii="宋体" w:hAnsi="宋体"/>
                <w:b/>
                <w:color w:val="auto"/>
                <w:szCs w:val="21"/>
                <w:highlight w:val="none"/>
              </w:rPr>
            </w:pPr>
          </w:p>
        </w:tc>
        <w:tc>
          <w:tcPr>
            <w:tcW w:w="1268" w:type="dxa"/>
            <w:noWrap w:val="0"/>
            <w:vAlign w:val="top"/>
          </w:tcPr>
          <w:p>
            <w:pPr>
              <w:pStyle w:val="10"/>
              <w:snapToGrid w:val="0"/>
              <w:spacing w:line="360" w:lineRule="auto"/>
              <w:ind w:firstLine="0"/>
              <w:rPr>
                <w:rFonts w:ascii="宋体" w:hAnsi="宋体"/>
                <w:b/>
                <w:color w:val="auto"/>
                <w:szCs w:val="21"/>
                <w:highlight w:val="none"/>
              </w:rPr>
            </w:pPr>
          </w:p>
        </w:tc>
        <w:tc>
          <w:tcPr>
            <w:tcW w:w="1245" w:type="dxa"/>
            <w:noWrap w:val="0"/>
            <w:vAlign w:val="top"/>
          </w:tcPr>
          <w:p>
            <w:pPr>
              <w:pStyle w:val="10"/>
              <w:snapToGrid w:val="0"/>
              <w:spacing w:line="360" w:lineRule="auto"/>
              <w:ind w:firstLine="0"/>
              <w:rPr>
                <w:rFonts w:ascii="宋体" w:hAnsi="宋体"/>
                <w:b/>
                <w:color w:val="auto"/>
                <w:szCs w:val="21"/>
                <w:highlight w:val="none"/>
              </w:rPr>
            </w:pPr>
          </w:p>
        </w:tc>
        <w:tc>
          <w:tcPr>
            <w:tcW w:w="1770" w:type="dxa"/>
            <w:noWrap w:val="0"/>
            <w:vAlign w:val="top"/>
          </w:tcPr>
          <w:p>
            <w:pPr>
              <w:pStyle w:val="10"/>
              <w:snapToGrid w:val="0"/>
              <w:spacing w:line="360" w:lineRule="auto"/>
              <w:ind w:firstLine="0"/>
              <w:rPr>
                <w:rFonts w:ascii="宋体" w:hAnsi="宋体"/>
                <w:b/>
                <w:color w:val="auto"/>
                <w:szCs w:val="21"/>
                <w:highlight w:val="none"/>
              </w:rPr>
            </w:pPr>
          </w:p>
        </w:tc>
        <w:tc>
          <w:tcPr>
            <w:tcW w:w="1317" w:type="dxa"/>
            <w:noWrap w:val="0"/>
            <w:vAlign w:val="top"/>
          </w:tcPr>
          <w:p>
            <w:pPr>
              <w:pStyle w:val="10"/>
              <w:snapToGrid w:val="0"/>
              <w:spacing w:line="360" w:lineRule="auto"/>
              <w:ind w:firstLine="0"/>
              <w:rPr>
                <w:rFonts w:ascii="宋体" w:hAnsi="宋体"/>
                <w:b/>
                <w:color w:val="auto"/>
                <w:szCs w:val="21"/>
                <w:highlight w:val="none"/>
              </w:rPr>
            </w:pPr>
          </w:p>
        </w:tc>
        <w:tc>
          <w:tcPr>
            <w:tcW w:w="1376" w:type="dxa"/>
            <w:noWrap w:val="0"/>
            <w:vAlign w:val="top"/>
          </w:tcPr>
          <w:p>
            <w:pPr>
              <w:pStyle w:val="10"/>
              <w:snapToGrid w:val="0"/>
              <w:spacing w:line="360" w:lineRule="auto"/>
              <w:ind w:firstLine="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4</w:t>
            </w:r>
          </w:p>
        </w:tc>
        <w:tc>
          <w:tcPr>
            <w:tcW w:w="1282" w:type="dxa"/>
            <w:noWrap w:val="0"/>
            <w:vAlign w:val="top"/>
          </w:tcPr>
          <w:p>
            <w:pPr>
              <w:pStyle w:val="10"/>
              <w:snapToGrid w:val="0"/>
              <w:spacing w:line="360" w:lineRule="auto"/>
              <w:ind w:firstLine="0"/>
              <w:rPr>
                <w:rFonts w:ascii="宋体" w:hAnsi="宋体"/>
                <w:b/>
                <w:color w:val="auto"/>
                <w:szCs w:val="21"/>
                <w:highlight w:val="none"/>
              </w:rPr>
            </w:pPr>
          </w:p>
        </w:tc>
        <w:tc>
          <w:tcPr>
            <w:tcW w:w="1268" w:type="dxa"/>
            <w:noWrap w:val="0"/>
            <w:vAlign w:val="top"/>
          </w:tcPr>
          <w:p>
            <w:pPr>
              <w:pStyle w:val="10"/>
              <w:snapToGrid w:val="0"/>
              <w:spacing w:line="360" w:lineRule="auto"/>
              <w:ind w:firstLine="0"/>
              <w:rPr>
                <w:rFonts w:ascii="宋体" w:hAnsi="宋体"/>
                <w:b/>
                <w:color w:val="auto"/>
                <w:szCs w:val="21"/>
                <w:highlight w:val="none"/>
              </w:rPr>
            </w:pPr>
          </w:p>
        </w:tc>
        <w:tc>
          <w:tcPr>
            <w:tcW w:w="1245" w:type="dxa"/>
            <w:noWrap w:val="0"/>
            <w:vAlign w:val="top"/>
          </w:tcPr>
          <w:p>
            <w:pPr>
              <w:pStyle w:val="10"/>
              <w:snapToGrid w:val="0"/>
              <w:spacing w:line="360" w:lineRule="auto"/>
              <w:ind w:firstLine="0"/>
              <w:rPr>
                <w:rFonts w:ascii="宋体" w:hAnsi="宋体"/>
                <w:b/>
                <w:color w:val="auto"/>
                <w:szCs w:val="21"/>
                <w:highlight w:val="none"/>
              </w:rPr>
            </w:pPr>
          </w:p>
        </w:tc>
        <w:tc>
          <w:tcPr>
            <w:tcW w:w="1770" w:type="dxa"/>
            <w:noWrap w:val="0"/>
            <w:vAlign w:val="top"/>
          </w:tcPr>
          <w:p>
            <w:pPr>
              <w:pStyle w:val="10"/>
              <w:snapToGrid w:val="0"/>
              <w:spacing w:line="360" w:lineRule="auto"/>
              <w:ind w:firstLine="0"/>
              <w:rPr>
                <w:rFonts w:ascii="宋体" w:hAnsi="宋体"/>
                <w:b/>
                <w:color w:val="auto"/>
                <w:szCs w:val="21"/>
                <w:highlight w:val="none"/>
              </w:rPr>
            </w:pPr>
          </w:p>
        </w:tc>
        <w:tc>
          <w:tcPr>
            <w:tcW w:w="1317" w:type="dxa"/>
            <w:noWrap w:val="0"/>
            <w:vAlign w:val="top"/>
          </w:tcPr>
          <w:p>
            <w:pPr>
              <w:pStyle w:val="10"/>
              <w:snapToGrid w:val="0"/>
              <w:spacing w:line="360" w:lineRule="auto"/>
              <w:ind w:firstLine="0"/>
              <w:rPr>
                <w:rFonts w:ascii="宋体" w:hAnsi="宋体"/>
                <w:b/>
                <w:color w:val="auto"/>
                <w:szCs w:val="21"/>
                <w:highlight w:val="none"/>
              </w:rPr>
            </w:pPr>
          </w:p>
        </w:tc>
        <w:tc>
          <w:tcPr>
            <w:tcW w:w="1376" w:type="dxa"/>
            <w:noWrap w:val="0"/>
            <w:vAlign w:val="top"/>
          </w:tcPr>
          <w:p>
            <w:pPr>
              <w:pStyle w:val="10"/>
              <w:snapToGrid w:val="0"/>
              <w:spacing w:line="360" w:lineRule="auto"/>
              <w:ind w:firstLine="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5</w:t>
            </w:r>
          </w:p>
        </w:tc>
        <w:tc>
          <w:tcPr>
            <w:tcW w:w="1282" w:type="dxa"/>
            <w:noWrap w:val="0"/>
            <w:vAlign w:val="top"/>
          </w:tcPr>
          <w:p>
            <w:pPr>
              <w:pStyle w:val="10"/>
              <w:snapToGrid w:val="0"/>
              <w:spacing w:line="360" w:lineRule="auto"/>
              <w:ind w:firstLine="0"/>
              <w:rPr>
                <w:rFonts w:ascii="宋体" w:hAnsi="宋体"/>
                <w:b/>
                <w:color w:val="auto"/>
                <w:szCs w:val="21"/>
                <w:highlight w:val="none"/>
              </w:rPr>
            </w:pPr>
          </w:p>
        </w:tc>
        <w:tc>
          <w:tcPr>
            <w:tcW w:w="1268" w:type="dxa"/>
            <w:noWrap w:val="0"/>
            <w:vAlign w:val="top"/>
          </w:tcPr>
          <w:p>
            <w:pPr>
              <w:pStyle w:val="10"/>
              <w:snapToGrid w:val="0"/>
              <w:spacing w:line="360" w:lineRule="auto"/>
              <w:ind w:firstLine="0"/>
              <w:rPr>
                <w:rFonts w:ascii="宋体" w:hAnsi="宋体"/>
                <w:b/>
                <w:color w:val="auto"/>
                <w:szCs w:val="21"/>
                <w:highlight w:val="none"/>
              </w:rPr>
            </w:pPr>
          </w:p>
        </w:tc>
        <w:tc>
          <w:tcPr>
            <w:tcW w:w="1245" w:type="dxa"/>
            <w:noWrap w:val="0"/>
            <w:vAlign w:val="top"/>
          </w:tcPr>
          <w:p>
            <w:pPr>
              <w:pStyle w:val="10"/>
              <w:snapToGrid w:val="0"/>
              <w:spacing w:line="360" w:lineRule="auto"/>
              <w:ind w:firstLine="0"/>
              <w:rPr>
                <w:rFonts w:ascii="宋体" w:hAnsi="宋体"/>
                <w:b/>
                <w:color w:val="auto"/>
                <w:szCs w:val="21"/>
                <w:highlight w:val="none"/>
              </w:rPr>
            </w:pPr>
          </w:p>
        </w:tc>
        <w:tc>
          <w:tcPr>
            <w:tcW w:w="1770" w:type="dxa"/>
            <w:noWrap w:val="0"/>
            <w:vAlign w:val="top"/>
          </w:tcPr>
          <w:p>
            <w:pPr>
              <w:pStyle w:val="10"/>
              <w:snapToGrid w:val="0"/>
              <w:spacing w:line="360" w:lineRule="auto"/>
              <w:ind w:firstLine="0"/>
              <w:rPr>
                <w:rFonts w:ascii="宋体" w:hAnsi="宋体"/>
                <w:b/>
                <w:color w:val="auto"/>
                <w:szCs w:val="21"/>
                <w:highlight w:val="none"/>
              </w:rPr>
            </w:pPr>
          </w:p>
        </w:tc>
        <w:tc>
          <w:tcPr>
            <w:tcW w:w="1317" w:type="dxa"/>
            <w:noWrap w:val="0"/>
            <w:vAlign w:val="top"/>
          </w:tcPr>
          <w:p>
            <w:pPr>
              <w:pStyle w:val="10"/>
              <w:snapToGrid w:val="0"/>
              <w:spacing w:line="360" w:lineRule="auto"/>
              <w:ind w:firstLine="0"/>
              <w:rPr>
                <w:rFonts w:ascii="宋体" w:hAnsi="宋体"/>
                <w:b/>
                <w:color w:val="auto"/>
                <w:szCs w:val="21"/>
                <w:highlight w:val="none"/>
              </w:rPr>
            </w:pPr>
          </w:p>
        </w:tc>
        <w:tc>
          <w:tcPr>
            <w:tcW w:w="1376" w:type="dxa"/>
            <w:noWrap w:val="0"/>
            <w:vAlign w:val="top"/>
          </w:tcPr>
          <w:p>
            <w:pPr>
              <w:pStyle w:val="10"/>
              <w:snapToGrid w:val="0"/>
              <w:spacing w:line="360" w:lineRule="auto"/>
              <w:ind w:firstLine="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6</w:t>
            </w:r>
          </w:p>
        </w:tc>
        <w:tc>
          <w:tcPr>
            <w:tcW w:w="1282" w:type="dxa"/>
            <w:noWrap w:val="0"/>
            <w:vAlign w:val="top"/>
          </w:tcPr>
          <w:p>
            <w:pPr>
              <w:pStyle w:val="10"/>
              <w:snapToGrid w:val="0"/>
              <w:spacing w:line="360" w:lineRule="auto"/>
              <w:ind w:firstLine="0"/>
              <w:rPr>
                <w:rFonts w:ascii="宋体" w:hAnsi="宋体"/>
                <w:color w:val="auto"/>
                <w:szCs w:val="21"/>
                <w:highlight w:val="none"/>
              </w:rPr>
            </w:pPr>
          </w:p>
        </w:tc>
        <w:tc>
          <w:tcPr>
            <w:tcW w:w="1268" w:type="dxa"/>
            <w:noWrap w:val="0"/>
            <w:vAlign w:val="top"/>
          </w:tcPr>
          <w:p>
            <w:pPr>
              <w:pStyle w:val="10"/>
              <w:snapToGrid w:val="0"/>
              <w:spacing w:line="360" w:lineRule="auto"/>
              <w:ind w:firstLine="0"/>
              <w:rPr>
                <w:rFonts w:ascii="宋体" w:hAnsi="宋体"/>
                <w:color w:val="auto"/>
                <w:szCs w:val="21"/>
                <w:highlight w:val="none"/>
              </w:rPr>
            </w:pPr>
          </w:p>
        </w:tc>
        <w:tc>
          <w:tcPr>
            <w:tcW w:w="1245" w:type="dxa"/>
            <w:noWrap w:val="0"/>
            <w:vAlign w:val="top"/>
          </w:tcPr>
          <w:p>
            <w:pPr>
              <w:pStyle w:val="10"/>
              <w:snapToGrid w:val="0"/>
              <w:spacing w:line="360" w:lineRule="auto"/>
              <w:ind w:firstLine="0"/>
              <w:rPr>
                <w:rFonts w:ascii="宋体" w:hAnsi="宋体"/>
                <w:color w:val="auto"/>
                <w:szCs w:val="21"/>
                <w:highlight w:val="none"/>
              </w:rPr>
            </w:pPr>
          </w:p>
        </w:tc>
        <w:tc>
          <w:tcPr>
            <w:tcW w:w="1770" w:type="dxa"/>
            <w:noWrap w:val="0"/>
            <w:vAlign w:val="top"/>
          </w:tcPr>
          <w:p>
            <w:pPr>
              <w:pStyle w:val="10"/>
              <w:snapToGrid w:val="0"/>
              <w:spacing w:line="360" w:lineRule="auto"/>
              <w:ind w:firstLine="0"/>
              <w:rPr>
                <w:rFonts w:ascii="宋体" w:hAnsi="宋体"/>
                <w:color w:val="auto"/>
                <w:szCs w:val="21"/>
                <w:highlight w:val="none"/>
              </w:rPr>
            </w:pPr>
          </w:p>
        </w:tc>
        <w:tc>
          <w:tcPr>
            <w:tcW w:w="1317" w:type="dxa"/>
            <w:noWrap w:val="0"/>
            <w:vAlign w:val="top"/>
          </w:tcPr>
          <w:p>
            <w:pPr>
              <w:pStyle w:val="10"/>
              <w:snapToGrid w:val="0"/>
              <w:spacing w:line="360" w:lineRule="auto"/>
              <w:ind w:firstLine="0"/>
              <w:rPr>
                <w:rFonts w:ascii="宋体" w:hAnsi="宋体"/>
                <w:color w:val="auto"/>
                <w:szCs w:val="21"/>
                <w:highlight w:val="none"/>
              </w:rPr>
            </w:pPr>
          </w:p>
        </w:tc>
        <w:tc>
          <w:tcPr>
            <w:tcW w:w="1376" w:type="dxa"/>
            <w:noWrap w:val="0"/>
            <w:vAlign w:val="top"/>
          </w:tcPr>
          <w:p>
            <w:pPr>
              <w:pStyle w:val="10"/>
              <w:snapToGrid w:val="0"/>
              <w:spacing w:line="360" w:lineRule="auto"/>
              <w:ind w:firstLine="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7</w:t>
            </w:r>
          </w:p>
        </w:tc>
        <w:tc>
          <w:tcPr>
            <w:tcW w:w="1282" w:type="dxa"/>
            <w:noWrap w:val="0"/>
            <w:vAlign w:val="top"/>
          </w:tcPr>
          <w:p>
            <w:pPr>
              <w:pStyle w:val="10"/>
              <w:snapToGrid w:val="0"/>
              <w:spacing w:line="360" w:lineRule="auto"/>
              <w:ind w:firstLine="0"/>
              <w:rPr>
                <w:rFonts w:ascii="宋体" w:hAnsi="宋体"/>
                <w:color w:val="auto"/>
                <w:szCs w:val="21"/>
                <w:highlight w:val="none"/>
              </w:rPr>
            </w:pPr>
          </w:p>
        </w:tc>
        <w:tc>
          <w:tcPr>
            <w:tcW w:w="1268" w:type="dxa"/>
            <w:noWrap w:val="0"/>
            <w:vAlign w:val="top"/>
          </w:tcPr>
          <w:p>
            <w:pPr>
              <w:pStyle w:val="10"/>
              <w:snapToGrid w:val="0"/>
              <w:spacing w:line="360" w:lineRule="auto"/>
              <w:ind w:firstLine="0"/>
              <w:rPr>
                <w:rFonts w:ascii="宋体" w:hAnsi="宋体"/>
                <w:color w:val="auto"/>
                <w:szCs w:val="21"/>
                <w:highlight w:val="none"/>
              </w:rPr>
            </w:pPr>
          </w:p>
        </w:tc>
        <w:tc>
          <w:tcPr>
            <w:tcW w:w="1245" w:type="dxa"/>
            <w:noWrap w:val="0"/>
            <w:vAlign w:val="top"/>
          </w:tcPr>
          <w:p>
            <w:pPr>
              <w:pStyle w:val="10"/>
              <w:snapToGrid w:val="0"/>
              <w:spacing w:line="360" w:lineRule="auto"/>
              <w:ind w:firstLine="0"/>
              <w:rPr>
                <w:rFonts w:ascii="宋体" w:hAnsi="宋体"/>
                <w:color w:val="auto"/>
                <w:szCs w:val="21"/>
                <w:highlight w:val="none"/>
              </w:rPr>
            </w:pPr>
          </w:p>
        </w:tc>
        <w:tc>
          <w:tcPr>
            <w:tcW w:w="1770" w:type="dxa"/>
            <w:noWrap w:val="0"/>
            <w:vAlign w:val="top"/>
          </w:tcPr>
          <w:p>
            <w:pPr>
              <w:pStyle w:val="10"/>
              <w:snapToGrid w:val="0"/>
              <w:spacing w:line="360" w:lineRule="auto"/>
              <w:ind w:firstLine="0"/>
              <w:rPr>
                <w:rFonts w:ascii="宋体" w:hAnsi="宋体"/>
                <w:color w:val="auto"/>
                <w:szCs w:val="21"/>
                <w:highlight w:val="none"/>
              </w:rPr>
            </w:pPr>
          </w:p>
        </w:tc>
        <w:tc>
          <w:tcPr>
            <w:tcW w:w="1317" w:type="dxa"/>
            <w:noWrap w:val="0"/>
            <w:vAlign w:val="top"/>
          </w:tcPr>
          <w:p>
            <w:pPr>
              <w:pStyle w:val="10"/>
              <w:snapToGrid w:val="0"/>
              <w:spacing w:line="360" w:lineRule="auto"/>
              <w:ind w:firstLine="0"/>
              <w:rPr>
                <w:rFonts w:ascii="宋体" w:hAnsi="宋体"/>
                <w:color w:val="auto"/>
                <w:szCs w:val="21"/>
                <w:highlight w:val="none"/>
              </w:rPr>
            </w:pPr>
          </w:p>
        </w:tc>
        <w:tc>
          <w:tcPr>
            <w:tcW w:w="1376" w:type="dxa"/>
            <w:noWrap w:val="0"/>
            <w:vAlign w:val="top"/>
          </w:tcPr>
          <w:p>
            <w:pPr>
              <w:pStyle w:val="10"/>
              <w:snapToGrid w:val="0"/>
              <w:spacing w:line="360" w:lineRule="auto"/>
              <w:ind w:firstLine="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8</w:t>
            </w:r>
          </w:p>
        </w:tc>
        <w:tc>
          <w:tcPr>
            <w:tcW w:w="1282" w:type="dxa"/>
            <w:noWrap w:val="0"/>
            <w:vAlign w:val="top"/>
          </w:tcPr>
          <w:p>
            <w:pPr>
              <w:pStyle w:val="10"/>
              <w:snapToGrid w:val="0"/>
              <w:spacing w:line="360" w:lineRule="auto"/>
              <w:ind w:firstLine="0"/>
              <w:rPr>
                <w:rFonts w:ascii="宋体" w:hAnsi="宋体"/>
                <w:color w:val="auto"/>
                <w:szCs w:val="21"/>
                <w:highlight w:val="none"/>
              </w:rPr>
            </w:pPr>
          </w:p>
        </w:tc>
        <w:tc>
          <w:tcPr>
            <w:tcW w:w="1268" w:type="dxa"/>
            <w:noWrap w:val="0"/>
            <w:vAlign w:val="top"/>
          </w:tcPr>
          <w:p>
            <w:pPr>
              <w:pStyle w:val="10"/>
              <w:snapToGrid w:val="0"/>
              <w:spacing w:line="360" w:lineRule="auto"/>
              <w:ind w:firstLine="0"/>
              <w:rPr>
                <w:rFonts w:ascii="宋体" w:hAnsi="宋体"/>
                <w:color w:val="auto"/>
                <w:szCs w:val="21"/>
                <w:highlight w:val="none"/>
              </w:rPr>
            </w:pPr>
          </w:p>
        </w:tc>
        <w:tc>
          <w:tcPr>
            <w:tcW w:w="1245" w:type="dxa"/>
            <w:noWrap w:val="0"/>
            <w:vAlign w:val="top"/>
          </w:tcPr>
          <w:p>
            <w:pPr>
              <w:pStyle w:val="10"/>
              <w:snapToGrid w:val="0"/>
              <w:spacing w:line="360" w:lineRule="auto"/>
              <w:ind w:firstLine="0"/>
              <w:rPr>
                <w:rFonts w:ascii="宋体" w:hAnsi="宋体"/>
                <w:color w:val="auto"/>
                <w:szCs w:val="21"/>
                <w:highlight w:val="none"/>
              </w:rPr>
            </w:pPr>
          </w:p>
        </w:tc>
        <w:tc>
          <w:tcPr>
            <w:tcW w:w="1770" w:type="dxa"/>
            <w:noWrap w:val="0"/>
            <w:vAlign w:val="top"/>
          </w:tcPr>
          <w:p>
            <w:pPr>
              <w:pStyle w:val="10"/>
              <w:snapToGrid w:val="0"/>
              <w:spacing w:line="360" w:lineRule="auto"/>
              <w:ind w:firstLine="0"/>
              <w:rPr>
                <w:rFonts w:ascii="宋体" w:hAnsi="宋体"/>
                <w:color w:val="auto"/>
                <w:szCs w:val="21"/>
                <w:highlight w:val="none"/>
              </w:rPr>
            </w:pPr>
          </w:p>
        </w:tc>
        <w:tc>
          <w:tcPr>
            <w:tcW w:w="1317" w:type="dxa"/>
            <w:noWrap w:val="0"/>
            <w:vAlign w:val="top"/>
          </w:tcPr>
          <w:p>
            <w:pPr>
              <w:pStyle w:val="10"/>
              <w:snapToGrid w:val="0"/>
              <w:spacing w:line="360" w:lineRule="auto"/>
              <w:ind w:firstLine="0"/>
              <w:rPr>
                <w:rFonts w:ascii="宋体" w:hAnsi="宋体"/>
                <w:color w:val="auto"/>
                <w:szCs w:val="21"/>
                <w:highlight w:val="none"/>
              </w:rPr>
            </w:pPr>
          </w:p>
        </w:tc>
        <w:tc>
          <w:tcPr>
            <w:tcW w:w="1376" w:type="dxa"/>
            <w:noWrap w:val="0"/>
            <w:vAlign w:val="top"/>
          </w:tcPr>
          <w:p>
            <w:pPr>
              <w:pStyle w:val="10"/>
              <w:snapToGrid w:val="0"/>
              <w:spacing w:line="360" w:lineRule="auto"/>
              <w:ind w:firstLine="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color w:val="auto"/>
                <w:szCs w:val="21"/>
                <w:highlight w:val="none"/>
              </w:rPr>
              <w:t>9</w:t>
            </w:r>
          </w:p>
        </w:tc>
        <w:tc>
          <w:tcPr>
            <w:tcW w:w="1282" w:type="dxa"/>
            <w:noWrap w:val="0"/>
            <w:vAlign w:val="top"/>
          </w:tcPr>
          <w:p>
            <w:pPr>
              <w:pStyle w:val="10"/>
              <w:snapToGrid w:val="0"/>
              <w:spacing w:line="360" w:lineRule="auto"/>
              <w:ind w:firstLine="0"/>
              <w:rPr>
                <w:rFonts w:ascii="宋体" w:hAnsi="宋体"/>
                <w:color w:val="auto"/>
                <w:szCs w:val="21"/>
                <w:highlight w:val="none"/>
              </w:rPr>
            </w:pPr>
          </w:p>
        </w:tc>
        <w:tc>
          <w:tcPr>
            <w:tcW w:w="1268" w:type="dxa"/>
            <w:noWrap w:val="0"/>
            <w:vAlign w:val="top"/>
          </w:tcPr>
          <w:p>
            <w:pPr>
              <w:pStyle w:val="10"/>
              <w:snapToGrid w:val="0"/>
              <w:spacing w:line="360" w:lineRule="auto"/>
              <w:ind w:firstLine="0"/>
              <w:rPr>
                <w:rFonts w:ascii="宋体" w:hAnsi="宋体"/>
                <w:color w:val="auto"/>
                <w:szCs w:val="21"/>
                <w:highlight w:val="none"/>
              </w:rPr>
            </w:pPr>
          </w:p>
        </w:tc>
        <w:tc>
          <w:tcPr>
            <w:tcW w:w="1245" w:type="dxa"/>
            <w:noWrap w:val="0"/>
            <w:vAlign w:val="top"/>
          </w:tcPr>
          <w:p>
            <w:pPr>
              <w:pStyle w:val="10"/>
              <w:snapToGrid w:val="0"/>
              <w:spacing w:line="360" w:lineRule="auto"/>
              <w:ind w:firstLine="0"/>
              <w:rPr>
                <w:rFonts w:ascii="宋体" w:hAnsi="宋体"/>
                <w:color w:val="auto"/>
                <w:szCs w:val="21"/>
                <w:highlight w:val="none"/>
              </w:rPr>
            </w:pPr>
          </w:p>
        </w:tc>
        <w:tc>
          <w:tcPr>
            <w:tcW w:w="1770" w:type="dxa"/>
            <w:noWrap w:val="0"/>
            <w:vAlign w:val="top"/>
          </w:tcPr>
          <w:p>
            <w:pPr>
              <w:pStyle w:val="10"/>
              <w:snapToGrid w:val="0"/>
              <w:spacing w:line="360" w:lineRule="auto"/>
              <w:ind w:firstLine="0"/>
              <w:rPr>
                <w:rFonts w:ascii="宋体" w:hAnsi="宋体"/>
                <w:color w:val="auto"/>
                <w:szCs w:val="21"/>
                <w:highlight w:val="none"/>
              </w:rPr>
            </w:pPr>
          </w:p>
        </w:tc>
        <w:tc>
          <w:tcPr>
            <w:tcW w:w="1317" w:type="dxa"/>
            <w:noWrap w:val="0"/>
            <w:vAlign w:val="top"/>
          </w:tcPr>
          <w:p>
            <w:pPr>
              <w:pStyle w:val="10"/>
              <w:snapToGrid w:val="0"/>
              <w:spacing w:line="360" w:lineRule="auto"/>
              <w:ind w:firstLine="0"/>
              <w:rPr>
                <w:rFonts w:ascii="宋体" w:hAnsi="宋体"/>
                <w:color w:val="auto"/>
                <w:szCs w:val="21"/>
                <w:highlight w:val="none"/>
              </w:rPr>
            </w:pPr>
          </w:p>
        </w:tc>
        <w:tc>
          <w:tcPr>
            <w:tcW w:w="1376" w:type="dxa"/>
            <w:noWrap w:val="0"/>
            <w:vAlign w:val="top"/>
          </w:tcPr>
          <w:p>
            <w:pPr>
              <w:pStyle w:val="10"/>
              <w:snapToGrid w:val="0"/>
              <w:spacing w:line="360" w:lineRule="auto"/>
              <w:ind w:firstLine="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top"/>
          </w:tcPr>
          <w:p>
            <w:pPr>
              <w:pStyle w:val="10"/>
              <w:snapToGrid w:val="0"/>
              <w:spacing w:line="360" w:lineRule="auto"/>
              <w:ind w:firstLine="0"/>
              <w:jc w:val="center"/>
              <w:rPr>
                <w:rFonts w:ascii="宋体" w:hAnsi="宋体"/>
                <w:color w:val="auto"/>
                <w:szCs w:val="21"/>
                <w:highlight w:val="none"/>
              </w:rPr>
            </w:pPr>
            <w:r>
              <w:rPr>
                <w:rFonts w:hint="eastAsia" w:ascii="宋体" w:hAnsi="宋体"/>
                <w:b/>
                <w:color w:val="auto"/>
                <w:szCs w:val="21"/>
                <w:highlight w:val="none"/>
              </w:rPr>
              <w:t>……</w:t>
            </w:r>
          </w:p>
        </w:tc>
        <w:tc>
          <w:tcPr>
            <w:tcW w:w="1282" w:type="dxa"/>
            <w:noWrap w:val="0"/>
            <w:vAlign w:val="top"/>
          </w:tcPr>
          <w:p>
            <w:pPr>
              <w:pStyle w:val="10"/>
              <w:snapToGrid w:val="0"/>
              <w:spacing w:line="360" w:lineRule="auto"/>
              <w:ind w:firstLine="0"/>
              <w:rPr>
                <w:rFonts w:ascii="宋体" w:hAnsi="宋体"/>
                <w:color w:val="auto"/>
                <w:szCs w:val="21"/>
                <w:highlight w:val="none"/>
              </w:rPr>
            </w:pPr>
          </w:p>
        </w:tc>
        <w:tc>
          <w:tcPr>
            <w:tcW w:w="1268" w:type="dxa"/>
            <w:noWrap w:val="0"/>
            <w:vAlign w:val="top"/>
          </w:tcPr>
          <w:p>
            <w:pPr>
              <w:pStyle w:val="10"/>
              <w:snapToGrid w:val="0"/>
              <w:spacing w:line="360" w:lineRule="auto"/>
              <w:ind w:firstLine="0"/>
              <w:rPr>
                <w:rFonts w:ascii="宋体" w:hAnsi="宋体"/>
                <w:color w:val="auto"/>
                <w:szCs w:val="21"/>
                <w:highlight w:val="none"/>
              </w:rPr>
            </w:pPr>
          </w:p>
        </w:tc>
        <w:tc>
          <w:tcPr>
            <w:tcW w:w="1245" w:type="dxa"/>
            <w:noWrap w:val="0"/>
            <w:vAlign w:val="top"/>
          </w:tcPr>
          <w:p>
            <w:pPr>
              <w:pStyle w:val="10"/>
              <w:snapToGrid w:val="0"/>
              <w:spacing w:line="360" w:lineRule="auto"/>
              <w:ind w:firstLine="0"/>
              <w:rPr>
                <w:rFonts w:ascii="宋体" w:hAnsi="宋体"/>
                <w:color w:val="auto"/>
                <w:szCs w:val="21"/>
                <w:highlight w:val="none"/>
              </w:rPr>
            </w:pPr>
          </w:p>
        </w:tc>
        <w:tc>
          <w:tcPr>
            <w:tcW w:w="1770" w:type="dxa"/>
            <w:noWrap w:val="0"/>
            <w:vAlign w:val="top"/>
          </w:tcPr>
          <w:p>
            <w:pPr>
              <w:pStyle w:val="10"/>
              <w:snapToGrid w:val="0"/>
              <w:spacing w:line="360" w:lineRule="auto"/>
              <w:ind w:firstLine="0"/>
              <w:rPr>
                <w:rFonts w:ascii="宋体" w:hAnsi="宋体"/>
                <w:color w:val="auto"/>
                <w:szCs w:val="21"/>
                <w:highlight w:val="none"/>
              </w:rPr>
            </w:pPr>
          </w:p>
        </w:tc>
        <w:tc>
          <w:tcPr>
            <w:tcW w:w="1317" w:type="dxa"/>
            <w:noWrap w:val="0"/>
            <w:vAlign w:val="top"/>
          </w:tcPr>
          <w:p>
            <w:pPr>
              <w:pStyle w:val="10"/>
              <w:snapToGrid w:val="0"/>
              <w:spacing w:line="360" w:lineRule="auto"/>
              <w:ind w:firstLine="0"/>
              <w:rPr>
                <w:rFonts w:ascii="宋体" w:hAnsi="宋体"/>
                <w:color w:val="auto"/>
                <w:szCs w:val="21"/>
                <w:highlight w:val="none"/>
              </w:rPr>
            </w:pPr>
          </w:p>
        </w:tc>
        <w:tc>
          <w:tcPr>
            <w:tcW w:w="1376" w:type="dxa"/>
            <w:noWrap w:val="0"/>
            <w:vAlign w:val="top"/>
          </w:tcPr>
          <w:p>
            <w:pPr>
              <w:pStyle w:val="10"/>
              <w:snapToGrid w:val="0"/>
              <w:spacing w:line="360" w:lineRule="auto"/>
              <w:ind w:firstLine="0"/>
              <w:rPr>
                <w:rFonts w:ascii="宋体" w:hAnsi="宋体"/>
                <w:color w:val="auto"/>
                <w:szCs w:val="21"/>
                <w:highlight w:val="none"/>
              </w:rPr>
            </w:pPr>
          </w:p>
        </w:tc>
      </w:tr>
    </w:tbl>
    <w:p>
      <w:pPr>
        <w:spacing w:line="360" w:lineRule="auto"/>
        <w:ind w:left="401" w:hanging="401" w:hangingChars="190"/>
        <w:rPr>
          <w:rFonts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 xml:space="preserve"> </w:t>
      </w:r>
      <w:r>
        <w:rPr>
          <w:rFonts w:hint="eastAsia" w:ascii="宋体" w:hAnsi="宋体"/>
          <w:b/>
          <w:color w:val="auto"/>
          <w:szCs w:val="21"/>
          <w:highlight w:val="none"/>
        </w:rPr>
        <w:t>1.供应商应提供合同的复印件，要体现甲乙双方的名称、项目名称、时间等数据。</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pStyle w:val="7"/>
        <w:keepLines w:val="0"/>
        <w:widowControl w:val="0"/>
        <w:tabs>
          <w:tab w:val="left" w:pos="851"/>
        </w:tabs>
        <w:adjustRightInd/>
        <w:snapToGrid/>
        <w:jc w:val="both"/>
        <w:rPr>
          <w:rFonts w:hAnsi="宋体"/>
          <w:b/>
          <w:color w:val="auto"/>
          <w:sz w:val="24"/>
          <w:szCs w:val="24"/>
          <w:highlight w:val="none"/>
        </w:rPr>
      </w:pPr>
      <w:r>
        <w:rPr>
          <w:rFonts w:hAnsi="宋体"/>
          <w:b/>
          <w:color w:val="auto"/>
          <w:szCs w:val="21"/>
          <w:highlight w:val="none"/>
        </w:rPr>
        <w:br w:type="page"/>
      </w:r>
      <w:bookmarkStart w:id="436" w:name="_Toc509392338"/>
      <w:bookmarkStart w:id="437" w:name="_Toc455134768"/>
      <w:bookmarkStart w:id="438" w:name="_Toc16537"/>
      <w:bookmarkStart w:id="439" w:name="_Toc479158011"/>
      <w:bookmarkStart w:id="440" w:name="_Toc480898289"/>
      <w:bookmarkStart w:id="441" w:name="_Toc476581446"/>
      <w:bookmarkStart w:id="442" w:name="_Toc2074438"/>
      <w:bookmarkStart w:id="443" w:name="_Toc479157869"/>
      <w:bookmarkStart w:id="444" w:name="_Toc454820105"/>
      <w:r>
        <w:rPr>
          <w:rFonts w:hAnsi="宋体"/>
          <w:b/>
          <w:color w:val="auto"/>
          <w:sz w:val="24"/>
          <w:szCs w:val="24"/>
          <w:highlight w:val="none"/>
        </w:rPr>
        <w:t>6</w:t>
      </w:r>
      <w:r>
        <w:rPr>
          <w:rFonts w:hint="eastAsia" w:hAnsi="宋体"/>
          <w:b/>
          <w:color w:val="auto"/>
          <w:sz w:val="24"/>
          <w:szCs w:val="24"/>
          <w:highlight w:val="none"/>
        </w:rPr>
        <w:t>.采购人需求偏离表</w:t>
      </w:r>
      <w:bookmarkEnd w:id="436"/>
      <w:bookmarkEnd w:id="437"/>
      <w:bookmarkEnd w:id="438"/>
      <w:bookmarkEnd w:id="439"/>
      <w:bookmarkEnd w:id="440"/>
      <w:bookmarkEnd w:id="441"/>
      <w:bookmarkEnd w:id="442"/>
      <w:bookmarkEnd w:id="443"/>
      <w:bookmarkEnd w:id="444"/>
    </w:p>
    <w:p>
      <w:pPr>
        <w:pStyle w:val="8"/>
        <w:jc w:val="center"/>
        <w:rPr>
          <w:rFonts w:hAnsi="宋体" w:cs="宋体"/>
          <w:b/>
          <w:bCs/>
          <w:color w:val="auto"/>
          <w:sz w:val="28"/>
          <w:szCs w:val="28"/>
          <w:highlight w:val="none"/>
          <w:lang w:val="zh-CN"/>
        </w:rPr>
      </w:pPr>
      <w:r>
        <w:rPr>
          <w:rFonts w:hint="eastAsia" w:hAnsi="宋体"/>
          <w:b/>
          <w:bCs/>
          <w:color w:val="auto"/>
          <w:szCs w:val="21"/>
          <w:highlight w:val="none"/>
          <w:lang w:val="en-GB"/>
        </w:rPr>
        <w:t>采购人需求</w:t>
      </w:r>
      <w:r>
        <w:rPr>
          <w:rFonts w:hint="eastAsia" w:hAnsi="宋体" w:cs="宋体"/>
          <w:b/>
          <w:bCs/>
          <w:color w:val="auto"/>
          <w:szCs w:val="21"/>
          <w:highlight w:val="none"/>
          <w:lang w:val="en-GB"/>
        </w:rPr>
        <w:t>响应</w:t>
      </w:r>
      <w:r>
        <w:rPr>
          <w:rFonts w:hint="eastAsia" w:hAnsi="宋体" w:cs="宋体"/>
          <w:b/>
          <w:bCs/>
          <w:color w:val="auto"/>
          <w:highlight w:val="none"/>
          <w:lang w:val="zh-CN"/>
        </w:rPr>
        <w:t>偏离表</w:t>
      </w:r>
    </w:p>
    <w:tbl>
      <w:tblPr>
        <w:tblStyle w:val="48"/>
        <w:tblW w:w="9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80"/>
        <w:gridCol w:w="675"/>
        <w:gridCol w:w="3000"/>
        <w:gridCol w:w="1155"/>
        <w:gridCol w:w="740"/>
        <w:gridCol w:w="146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货物/服务名称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参数性质</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采购文件要求</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供应商响应情况</w:t>
            </w:r>
          </w:p>
        </w:tc>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是否</w:t>
            </w:r>
          </w:p>
          <w:p>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证明材料所在页码（精确到具体页码）</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1"/>
                <w:highlight w:val="none"/>
                <w:lang w:eastAsia="zh-CN"/>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1"/>
                <w:highlight w:val="none"/>
                <w:lang w:eastAsia="zh-CN"/>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cs="宋体"/>
                <w:color w:val="auto"/>
                <w:sz w:val="21"/>
                <w:szCs w:val="21"/>
                <w:highlight w:val="none"/>
                <w:lang w:val="en-US" w:eastAsia="zh-CN" w:bidi="ar-SA"/>
              </w:rPr>
            </w:pPr>
            <w:r>
              <w:rPr>
                <w:rFonts w:hint="eastAsia" w:ascii="宋体" w:hAnsi="宋体" w:cs="宋体"/>
                <w:color w:val="auto"/>
                <w:szCs w:val="21"/>
                <w:highlight w:val="none"/>
              </w:rPr>
              <w:t>...</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w:t>
            </w: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w:t>
            </w: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（其余条款由供应商根据采购人需求自行添加）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w:t>
            </w: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w:t>
            </w: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w:t>
            </w: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c>
          <w:tcPr>
            <w:tcW w:w="87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numPr>
          <w:ilvl w:val="0"/>
          <w:numId w:val="23"/>
        </w:num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对照采购文件第四章采购人需求的的要求，逐条如实填写响应情况，注明无偏离、正偏离或负偏离，并在备注中注明偏离的具体内容。技术指标参数响应栏如果原文复制采购文件技术要求，可能会被视为无效</w:t>
      </w:r>
      <w:r>
        <w:rPr>
          <w:rFonts w:hint="eastAsia" w:ascii="宋体" w:hAnsi="宋体" w:cs="宋体"/>
          <w:bCs/>
          <w:color w:val="auto"/>
          <w:szCs w:val="21"/>
          <w:highlight w:val="none"/>
          <w:lang w:eastAsia="zh-CN"/>
        </w:rPr>
        <w:t>响应</w:t>
      </w:r>
      <w:r>
        <w:rPr>
          <w:rFonts w:hint="eastAsia" w:ascii="宋体" w:hAnsi="宋体" w:cs="宋体"/>
          <w:bCs/>
          <w:color w:val="auto"/>
          <w:szCs w:val="21"/>
          <w:highlight w:val="none"/>
        </w:rPr>
        <w:t>。</w:t>
      </w:r>
    </w:p>
    <w:p>
      <w:pPr>
        <w:numPr>
          <w:ilvl w:val="0"/>
          <w:numId w:val="23"/>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参数性质：</w:t>
      </w:r>
    </w:p>
    <w:p>
      <w:pPr>
        <w:numPr>
          <w:ilvl w:val="0"/>
          <w:numId w:val="2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采购文件有标注的“★”号的条款，在参数性质栏目填写“★”。打“★”号条款为实质性条款，若有任何一条负偏离或不满足则导致</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无效。</w:t>
      </w:r>
    </w:p>
    <w:p>
      <w:pPr>
        <w:numPr>
          <w:ilvl w:val="0"/>
          <w:numId w:val="2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采购文件有标注的“▲”号的条款，在参数性质栏目填写“▲”。打“▲”号条款为重要技术参数（如有），若有部分“▲”条款未响应或不满足，将根据评审要求影响其得分，但不作为无效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条款。</w:t>
      </w:r>
    </w:p>
    <w:p>
      <w:pPr>
        <w:numPr>
          <w:ilvl w:val="0"/>
          <w:numId w:val="2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采购文件没有标注“★”、“▲”号的为一般条款，在参数性质栏目留空。</w:t>
      </w:r>
    </w:p>
    <w:p>
      <w:pPr>
        <w:numPr>
          <w:ilvl w:val="0"/>
          <w:numId w:val="23"/>
        </w:num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“是否偏离”项下应按下列规定填写：优于的，填写“正偏离”；符合的，填写“无偏离”；低于的，填写“负偏离”。</w:t>
      </w:r>
    </w:p>
    <w:p>
      <w:pPr>
        <w:numPr>
          <w:ilvl w:val="0"/>
          <w:numId w:val="23"/>
        </w:num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若技术指标参数证明材料所在页码不清晰，评委有权视相应技术参数响应不符合招标要求。</w:t>
      </w:r>
    </w:p>
    <w:p>
      <w:pPr>
        <w:ind w:firstLine="420" w:firstLineChars="200"/>
        <w:rPr>
          <w:rFonts w:ascii="宋体" w:hAnsi="宋体" w:cs="宋体"/>
          <w:color w:val="auto"/>
          <w:szCs w:val="21"/>
          <w:highlight w:val="none"/>
        </w:rPr>
      </w:pPr>
      <w:r>
        <w:rPr>
          <w:rFonts w:hint="eastAsia" w:ascii="宋体" w:hAnsi="宋体" w:cs="宋体"/>
          <w:bCs/>
          <w:color w:val="auto"/>
          <w:szCs w:val="21"/>
          <w:highlight w:val="none"/>
        </w:rPr>
        <w:t>5.“备注”处可填写偏离情况的说明。</w:t>
      </w:r>
    </w:p>
    <w:p>
      <w:pPr>
        <w:pStyle w:val="34"/>
        <w:rPr>
          <w:color w:val="auto"/>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hint="eastAsia" w:ascii="宋体" w:hAnsi="宋体"/>
          <w:color w:val="auto"/>
          <w:szCs w:val="21"/>
          <w:highlight w:val="none"/>
        </w:rPr>
        <w:sectPr>
          <w:pgSz w:w="11905" w:h="16838"/>
          <w:pgMar w:top="1417" w:right="1417" w:bottom="1417" w:left="1417" w:header="850" w:footer="850" w:gutter="0"/>
          <w:cols w:space="720" w:num="1"/>
          <w:docGrid w:linePitch="312" w:charSpace="0"/>
        </w:sectPr>
      </w:pPr>
      <w:r>
        <w:rPr>
          <w:rFonts w:hint="eastAsia" w:ascii="宋体" w:hAnsi="宋体"/>
          <w:color w:val="auto"/>
          <w:szCs w:val="21"/>
          <w:highlight w:val="none"/>
        </w:rPr>
        <w:t>日期：   年   月   日</w:t>
      </w:r>
    </w:p>
    <w:p>
      <w:pPr>
        <w:pStyle w:val="7"/>
        <w:keepLines w:val="0"/>
        <w:widowControl w:val="0"/>
        <w:tabs>
          <w:tab w:val="left" w:pos="851"/>
        </w:tabs>
        <w:adjustRightInd/>
        <w:snapToGrid/>
        <w:jc w:val="both"/>
        <w:rPr>
          <w:rFonts w:hAnsi="宋体"/>
          <w:b/>
          <w:color w:val="auto"/>
          <w:sz w:val="24"/>
          <w:szCs w:val="24"/>
          <w:highlight w:val="none"/>
        </w:rPr>
      </w:pPr>
      <w:bookmarkStart w:id="445" w:name="_Toc17842"/>
      <w:bookmarkStart w:id="446" w:name="_Toc3972093"/>
      <w:r>
        <w:rPr>
          <w:rFonts w:hint="eastAsia" w:hAnsi="宋体"/>
          <w:b/>
          <w:color w:val="auto"/>
          <w:sz w:val="24"/>
          <w:szCs w:val="24"/>
          <w:highlight w:val="none"/>
        </w:rPr>
        <w:t>7.合同条款偏离表</w:t>
      </w:r>
      <w:bookmarkEnd w:id="445"/>
      <w:bookmarkEnd w:id="446"/>
    </w:p>
    <w:p>
      <w:pPr>
        <w:pStyle w:val="8"/>
        <w:jc w:val="center"/>
        <w:rPr>
          <w:rFonts w:hAnsi="宋体"/>
          <w:b/>
          <w:color w:val="auto"/>
          <w:szCs w:val="21"/>
          <w:highlight w:val="none"/>
        </w:rPr>
      </w:pPr>
      <w:r>
        <w:rPr>
          <w:rFonts w:hint="eastAsia" w:hAnsi="宋体"/>
          <w:b/>
          <w:color w:val="auto"/>
          <w:szCs w:val="21"/>
          <w:highlight w:val="none"/>
        </w:rPr>
        <w:t>合同偏离表</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108" w:type="dxa"/>
          <w:bottom w:w="0" w:type="dxa"/>
          <w:right w:w="108" w:type="dxa"/>
        </w:tblCellMar>
      </w:tblPr>
      <w:tblGrid>
        <w:gridCol w:w="683"/>
        <w:gridCol w:w="1516"/>
        <w:gridCol w:w="1757"/>
        <w:gridCol w:w="2172"/>
        <w:gridCol w:w="21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trHeight w:val="1074" w:hRule="atLeast"/>
          <w:jc w:val="center"/>
        </w:trPr>
        <w:tc>
          <w:tcPr>
            <w:tcW w:w="683" w:type="dxa"/>
            <w:shd w:val="clear" w:color="auto" w:fill="FFFFFF"/>
            <w:noWrap w:val="0"/>
            <w:vAlign w:val="center"/>
          </w:tcPr>
          <w:p>
            <w:pPr>
              <w:adjustRightInd w:val="0"/>
              <w:snapToGrid w:val="0"/>
              <w:ind w:left="-71" w:leftChars="-34" w:right="-73" w:rightChars="-35"/>
              <w:jc w:val="center"/>
              <w:rPr>
                <w:rFonts w:hint="eastAsia" w:ascii="宋体" w:hAnsi="宋体"/>
                <w:color w:val="auto"/>
                <w:szCs w:val="21"/>
                <w:highlight w:val="none"/>
              </w:rPr>
            </w:pPr>
            <w:r>
              <w:rPr>
                <w:rFonts w:hint="eastAsia" w:ascii="宋体" w:hAnsi="宋体"/>
                <w:color w:val="auto"/>
                <w:szCs w:val="21"/>
                <w:highlight w:val="none"/>
              </w:rPr>
              <w:t>序号</w:t>
            </w:r>
          </w:p>
        </w:tc>
        <w:tc>
          <w:tcPr>
            <w:tcW w:w="1516" w:type="dxa"/>
            <w:shd w:val="clear" w:color="auto" w:fill="FFFFFF"/>
            <w:noWrap w:val="0"/>
            <w:vAlign w:val="center"/>
          </w:tcPr>
          <w:p>
            <w:pPr>
              <w:adjustRightInd w:val="0"/>
              <w:snapToGrid w:val="0"/>
              <w:ind w:left="-71" w:leftChars="-34" w:right="-73" w:rightChars="-35"/>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1757" w:type="dxa"/>
            <w:shd w:val="clear" w:color="auto" w:fill="FFFFFF"/>
            <w:noWrap w:val="0"/>
            <w:vAlign w:val="center"/>
          </w:tcPr>
          <w:p>
            <w:pPr>
              <w:adjustRightInd w:val="0"/>
              <w:snapToGrid w:val="0"/>
              <w:ind w:left="-71" w:leftChars="-34" w:right="-73" w:rightChars="-35"/>
              <w:jc w:val="center"/>
              <w:rPr>
                <w:rFonts w:hint="eastAsia" w:ascii="宋体" w:hAnsi="宋体"/>
                <w:color w:val="auto"/>
                <w:szCs w:val="21"/>
                <w:highlight w:val="none"/>
              </w:rPr>
            </w:pPr>
            <w:r>
              <w:rPr>
                <w:rFonts w:hint="eastAsia" w:ascii="宋体" w:hAnsi="宋体"/>
                <w:color w:val="auto"/>
                <w:szCs w:val="21"/>
                <w:highlight w:val="none"/>
              </w:rPr>
              <w:t>采购文件要求</w:t>
            </w:r>
          </w:p>
        </w:tc>
        <w:tc>
          <w:tcPr>
            <w:tcW w:w="2172" w:type="dxa"/>
            <w:shd w:val="clear" w:color="auto" w:fill="FFFFFF"/>
            <w:noWrap w:val="0"/>
            <w:vAlign w:val="center"/>
          </w:tcPr>
          <w:p>
            <w:pPr>
              <w:adjustRightInd w:val="0"/>
              <w:snapToGrid w:val="0"/>
              <w:ind w:left="-71" w:leftChars="-34" w:right="-73" w:rightChars="-35"/>
              <w:jc w:val="center"/>
              <w:rPr>
                <w:rFonts w:hint="eastAsia" w:ascii="宋体" w:hAnsi="宋体"/>
                <w:color w:val="auto"/>
                <w:szCs w:val="21"/>
                <w:highlight w:val="none"/>
              </w:rPr>
            </w:pPr>
            <w:r>
              <w:rPr>
                <w:rFonts w:hint="eastAsia" w:ascii="宋体" w:hAnsi="宋体"/>
                <w:color w:val="auto"/>
                <w:szCs w:val="21"/>
                <w:highlight w:val="none"/>
              </w:rPr>
              <w:t>供应商响应描述</w:t>
            </w:r>
          </w:p>
        </w:tc>
        <w:tc>
          <w:tcPr>
            <w:tcW w:w="2161" w:type="dxa"/>
            <w:shd w:val="clear" w:color="auto" w:fill="FFFFFF"/>
            <w:noWrap w:val="0"/>
            <w:vAlign w:val="center"/>
          </w:tcPr>
          <w:p>
            <w:pPr>
              <w:adjustRightInd w:val="0"/>
              <w:snapToGrid w:val="0"/>
              <w:ind w:left="-71" w:leftChars="-34" w:right="-73" w:rightChars="-35"/>
              <w:jc w:val="center"/>
              <w:rPr>
                <w:rFonts w:hint="eastAsia" w:ascii="宋体" w:hAnsi="宋体"/>
                <w:color w:val="auto"/>
                <w:szCs w:val="21"/>
                <w:highlight w:val="none"/>
              </w:rPr>
            </w:pPr>
            <w:r>
              <w:rPr>
                <w:rFonts w:hint="eastAsia" w:ascii="宋体" w:hAnsi="宋体"/>
                <w:color w:val="auto"/>
                <w:szCs w:val="21"/>
                <w:highlight w:val="none"/>
              </w:rPr>
              <w:t>偏离情况说明</w:t>
            </w:r>
          </w:p>
          <w:p>
            <w:pPr>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w:t>
            </w:r>
            <w:r>
              <w:rPr>
                <w:rFonts w:hint="eastAsia"/>
                <w:b/>
                <w:color w:val="auto"/>
                <w:szCs w:val="21"/>
                <w:highlight w:val="none"/>
              </w:rPr>
              <w:t>正偏离/完全响应/负偏离</w:t>
            </w:r>
            <w:r>
              <w:rPr>
                <w:rFonts w:hint="eastAsia" w:ascii="宋体" w:hAnsi="宋体"/>
                <w:b/>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cantSplit/>
          <w:trHeight w:val="527" w:hRule="atLeast"/>
          <w:jc w:val="center"/>
        </w:trPr>
        <w:tc>
          <w:tcPr>
            <w:tcW w:w="683" w:type="dxa"/>
            <w:shd w:val="clear" w:color="auto" w:fill="FFFFFF"/>
            <w:noWrap w:val="0"/>
            <w:vAlign w:val="center"/>
          </w:tcPr>
          <w:p>
            <w:pPr>
              <w:widowControl w:val="0"/>
              <w:ind w:left="180"/>
              <w:rPr>
                <w:rFonts w:hint="eastAsia" w:ascii="宋体" w:hAnsi="宋体"/>
                <w:color w:val="auto"/>
                <w:szCs w:val="21"/>
                <w:highlight w:val="none"/>
              </w:rPr>
            </w:pPr>
            <w:r>
              <w:rPr>
                <w:rFonts w:hint="eastAsia" w:ascii="宋体" w:hAnsi="宋体"/>
                <w:color w:val="auto"/>
                <w:szCs w:val="21"/>
                <w:highlight w:val="none"/>
              </w:rPr>
              <w:t>1</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cantSplit/>
          <w:trHeight w:val="527" w:hRule="atLeast"/>
          <w:jc w:val="center"/>
        </w:trPr>
        <w:tc>
          <w:tcPr>
            <w:tcW w:w="683" w:type="dxa"/>
            <w:shd w:val="clear" w:color="auto" w:fill="FFFFFF"/>
            <w:noWrap w:val="0"/>
            <w:vAlign w:val="center"/>
          </w:tcPr>
          <w:p>
            <w:pPr>
              <w:widowControl w:val="0"/>
              <w:ind w:left="180"/>
              <w:rPr>
                <w:rFonts w:hint="eastAsia" w:ascii="宋体" w:hAnsi="宋体"/>
                <w:color w:val="auto"/>
                <w:szCs w:val="21"/>
                <w:highlight w:val="none"/>
              </w:rPr>
            </w:pPr>
            <w:r>
              <w:rPr>
                <w:rFonts w:hint="eastAsia" w:ascii="宋体" w:hAnsi="宋体"/>
                <w:color w:val="auto"/>
                <w:szCs w:val="21"/>
                <w:highlight w:val="none"/>
              </w:rPr>
              <w:t>2</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cantSplit/>
          <w:trHeight w:val="527" w:hRule="atLeast"/>
          <w:jc w:val="center"/>
        </w:trPr>
        <w:tc>
          <w:tcPr>
            <w:tcW w:w="683" w:type="dxa"/>
            <w:shd w:val="clear" w:color="auto" w:fill="FFFFFF"/>
            <w:noWrap w:val="0"/>
            <w:vAlign w:val="center"/>
          </w:tcPr>
          <w:p>
            <w:pPr>
              <w:widowControl w:val="0"/>
              <w:ind w:left="180"/>
              <w:rPr>
                <w:rFonts w:hint="eastAsia" w:ascii="宋体" w:hAnsi="宋体"/>
                <w:color w:val="auto"/>
                <w:szCs w:val="21"/>
                <w:highlight w:val="none"/>
              </w:rPr>
            </w:pPr>
            <w:r>
              <w:rPr>
                <w:rFonts w:hint="eastAsia" w:ascii="宋体" w:hAnsi="宋体"/>
                <w:color w:val="auto"/>
                <w:szCs w:val="21"/>
                <w:highlight w:val="none"/>
              </w:rPr>
              <w:t>3</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108" w:type="dxa"/>
            <w:bottom w:w="0" w:type="dxa"/>
            <w:right w:w="108" w:type="dxa"/>
          </w:tblCellMar>
        </w:tblPrEx>
        <w:trPr>
          <w:cantSplit/>
          <w:trHeight w:val="795" w:hRule="atLeast"/>
          <w:jc w:val="center"/>
        </w:trPr>
        <w:tc>
          <w:tcPr>
            <w:tcW w:w="683" w:type="dxa"/>
            <w:shd w:val="clear" w:color="auto" w:fill="FFFFFF"/>
            <w:noWrap w:val="0"/>
            <w:vAlign w:val="center"/>
          </w:tcPr>
          <w:p>
            <w:pPr>
              <w:widowControl w:val="0"/>
              <w:ind w:left="180"/>
              <w:rPr>
                <w:rFonts w:hint="eastAsia" w:ascii="宋体" w:hAnsi="宋体"/>
                <w:color w:val="auto"/>
                <w:szCs w:val="21"/>
                <w:highlight w:val="none"/>
              </w:rPr>
            </w:pPr>
            <w:r>
              <w:rPr>
                <w:rFonts w:hint="eastAsia" w:ascii="宋体" w:hAnsi="宋体"/>
                <w:color w:val="auto"/>
                <w:szCs w:val="21"/>
                <w:highlight w:val="none"/>
              </w:rPr>
              <w:t>4</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jc w:val="center"/>
        </w:trPr>
        <w:tc>
          <w:tcPr>
            <w:tcW w:w="683" w:type="dxa"/>
            <w:shd w:val="clear" w:color="auto" w:fill="FFFFFF"/>
            <w:noWrap w:val="0"/>
            <w:vAlign w:val="center"/>
          </w:tcPr>
          <w:p>
            <w:pPr>
              <w:widowControl w:val="0"/>
              <w:ind w:left="180"/>
              <w:rPr>
                <w:rFonts w:ascii="宋体" w:hAnsi="宋体"/>
                <w:color w:val="auto"/>
                <w:szCs w:val="21"/>
                <w:highlight w:val="none"/>
              </w:rPr>
            </w:pPr>
            <w:r>
              <w:rPr>
                <w:rFonts w:hint="eastAsia" w:ascii="宋体" w:hAnsi="宋体"/>
                <w:color w:val="auto"/>
                <w:szCs w:val="21"/>
                <w:highlight w:val="none"/>
              </w:rPr>
              <w:t>5</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jc w:val="center"/>
        </w:trPr>
        <w:tc>
          <w:tcPr>
            <w:tcW w:w="683" w:type="dxa"/>
            <w:shd w:val="clear" w:color="auto" w:fill="FFFFFF"/>
            <w:noWrap w:val="0"/>
            <w:vAlign w:val="center"/>
          </w:tcPr>
          <w:p>
            <w:pPr>
              <w:widowControl w:val="0"/>
              <w:ind w:left="180"/>
              <w:rPr>
                <w:rFonts w:ascii="宋体" w:hAnsi="宋体"/>
                <w:color w:val="auto"/>
                <w:szCs w:val="21"/>
                <w:highlight w:val="none"/>
              </w:rPr>
            </w:pPr>
            <w:r>
              <w:rPr>
                <w:rFonts w:ascii="宋体" w:hAnsi="宋体"/>
                <w:color w:val="auto"/>
                <w:szCs w:val="21"/>
                <w:highlight w:val="none"/>
              </w:rPr>
              <w:t>…</w:t>
            </w:r>
          </w:p>
        </w:tc>
        <w:tc>
          <w:tcPr>
            <w:tcW w:w="1516" w:type="dxa"/>
            <w:shd w:val="clear" w:color="auto" w:fill="FFFFFF"/>
            <w:noWrap w:val="0"/>
            <w:vAlign w:val="center"/>
          </w:tcPr>
          <w:p>
            <w:pPr>
              <w:spacing w:line="400" w:lineRule="exact"/>
              <w:jc w:val="center"/>
              <w:rPr>
                <w:rFonts w:hint="eastAsia" w:ascii="宋体" w:hAnsi="宋体"/>
                <w:color w:val="auto"/>
                <w:szCs w:val="21"/>
                <w:highlight w:val="none"/>
              </w:rPr>
            </w:pPr>
          </w:p>
        </w:tc>
        <w:tc>
          <w:tcPr>
            <w:tcW w:w="1757"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72" w:type="dxa"/>
            <w:shd w:val="clear" w:color="auto" w:fill="FFFFFF"/>
            <w:noWrap w:val="0"/>
            <w:vAlign w:val="center"/>
          </w:tcPr>
          <w:p>
            <w:pPr>
              <w:spacing w:line="400" w:lineRule="exact"/>
              <w:jc w:val="center"/>
              <w:rPr>
                <w:rFonts w:hint="eastAsia" w:ascii="宋体" w:hAnsi="宋体"/>
                <w:color w:val="auto"/>
                <w:szCs w:val="21"/>
                <w:highlight w:val="none"/>
              </w:rPr>
            </w:pPr>
          </w:p>
        </w:tc>
        <w:tc>
          <w:tcPr>
            <w:tcW w:w="2161" w:type="dxa"/>
            <w:shd w:val="clear" w:color="auto" w:fill="FFFFFF"/>
            <w:noWrap w:val="0"/>
            <w:vAlign w:val="center"/>
          </w:tcPr>
          <w:p>
            <w:pPr>
              <w:spacing w:line="400" w:lineRule="exact"/>
              <w:jc w:val="center"/>
              <w:rPr>
                <w:rFonts w:hint="eastAsia" w:ascii="宋体" w:hAnsi="宋体"/>
                <w:color w:val="auto"/>
                <w:szCs w:val="21"/>
                <w:highlight w:val="none"/>
              </w:rPr>
            </w:pPr>
          </w:p>
        </w:tc>
      </w:tr>
    </w:tbl>
    <w:p>
      <w:pPr>
        <w:spacing w:line="360" w:lineRule="auto"/>
        <w:ind w:firstLine="315" w:firstLineChars="150"/>
        <w:rPr>
          <w:rFonts w:hint="eastAsia" w:ascii="宋体" w:hAnsi="宋体"/>
          <w:color w:val="auto"/>
          <w:szCs w:val="21"/>
          <w:highlight w:val="none"/>
          <w:lang w:val="en-GB"/>
        </w:rPr>
      </w:pPr>
      <w:r>
        <w:rPr>
          <w:rFonts w:hint="eastAsia" w:ascii="宋体" w:hAnsi="宋体"/>
          <w:color w:val="auto"/>
          <w:szCs w:val="21"/>
          <w:highlight w:val="none"/>
          <w:lang w:val="en-GB"/>
        </w:rPr>
        <w:t>注：请在“偏离说明”栏内扼要说明对合同条款偏离情况，如无偏离则将本表格保留空白。</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7"/>
        <w:keepLines w:val="0"/>
        <w:widowControl w:val="0"/>
        <w:tabs>
          <w:tab w:val="left" w:pos="851"/>
        </w:tabs>
        <w:adjustRightInd/>
        <w:snapToGrid/>
        <w:jc w:val="both"/>
        <w:rPr>
          <w:rFonts w:hAnsi="宋体"/>
          <w:color w:val="auto"/>
          <w:sz w:val="21"/>
          <w:szCs w:val="21"/>
          <w:highlight w:val="none"/>
        </w:rPr>
      </w:pPr>
      <w:r>
        <w:rPr>
          <w:rFonts w:hAnsi="宋体"/>
          <w:color w:val="auto"/>
          <w:szCs w:val="21"/>
          <w:highlight w:val="none"/>
        </w:rPr>
        <w:br w:type="page"/>
      </w:r>
      <w:bookmarkStart w:id="447" w:name="_Toc509392339"/>
      <w:bookmarkStart w:id="448" w:name="_Toc479158012"/>
      <w:bookmarkStart w:id="449" w:name="_Toc7368"/>
      <w:bookmarkStart w:id="450" w:name="_Toc2074439"/>
      <w:bookmarkStart w:id="451" w:name="_Toc479157870"/>
      <w:bookmarkStart w:id="452" w:name="_Toc504694789"/>
      <w:bookmarkStart w:id="453" w:name="_Toc480898290"/>
      <w:bookmarkStart w:id="454" w:name="_Toc476581447"/>
      <w:r>
        <w:rPr>
          <w:rFonts w:hint="eastAsia" w:hAnsi="宋体"/>
          <w:b/>
          <w:color w:val="auto"/>
          <w:sz w:val="24"/>
          <w:szCs w:val="24"/>
          <w:highlight w:val="none"/>
        </w:rPr>
        <w:t>8.技术方案</w:t>
      </w:r>
      <w:bookmarkEnd w:id="447"/>
      <w:bookmarkEnd w:id="448"/>
      <w:bookmarkEnd w:id="449"/>
      <w:bookmarkEnd w:id="450"/>
      <w:bookmarkEnd w:id="451"/>
      <w:bookmarkEnd w:id="452"/>
      <w:bookmarkEnd w:id="453"/>
      <w:bookmarkEnd w:id="454"/>
    </w:p>
    <w:p>
      <w:pPr>
        <w:pStyle w:val="8"/>
        <w:rPr>
          <w:rFonts w:hAnsi="宋体"/>
          <w:b/>
          <w:color w:val="auto"/>
          <w:szCs w:val="21"/>
          <w:highlight w:val="none"/>
        </w:rPr>
      </w:pPr>
      <w:bookmarkStart w:id="455" w:name="_Toc479158013"/>
      <w:r>
        <w:rPr>
          <w:rFonts w:hint="eastAsia" w:hAnsi="宋体"/>
          <w:b/>
          <w:color w:val="auto"/>
          <w:szCs w:val="21"/>
          <w:highlight w:val="none"/>
        </w:rPr>
        <w:t>8.1 实施方案</w:t>
      </w:r>
      <w:bookmarkEnd w:id="455"/>
    </w:p>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供应商应按照采购文件的要求，根据第三章《采购人需求》要求内容做出全面响应并编制实施方案，应包括采购人需求的全部内容。对含糊不清或欠具体明确之处，评委会可视为供应商履约能力不足或响应不全。</w:t>
      </w:r>
    </w:p>
    <w:p>
      <w:pPr>
        <w:tabs>
          <w:tab w:val="left" w:pos="540"/>
        </w:tabs>
        <w:spacing w:line="360" w:lineRule="auto"/>
        <w:rPr>
          <w:rFonts w:ascii="宋体" w:hAnsi="宋体"/>
          <w:b/>
          <w:color w:val="auto"/>
          <w:szCs w:val="21"/>
          <w:highlight w:val="none"/>
        </w:rPr>
      </w:pPr>
      <w:r>
        <w:rPr>
          <w:rFonts w:hint="eastAsia" w:ascii="宋体" w:hAnsi="宋体"/>
          <w:b/>
          <w:color w:val="auto"/>
          <w:szCs w:val="21"/>
          <w:highlight w:val="none"/>
        </w:rPr>
        <w:t>（供应商结合自身实际情况，根据商务、技术评审表内容自行编制，格式自拟）</w:t>
      </w: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pStyle w:val="8"/>
        <w:rPr>
          <w:rFonts w:hint="eastAsia" w:hAnsi="宋体"/>
          <w:b/>
          <w:color w:val="auto"/>
          <w:szCs w:val="21"/>
          <w:highlight w:val="none"/>
        </w:rPr>
      </w:pPr>
      <w:r>
        <w:rPr>
          <w:rFonts w:hint="eastAsia" w:hAnsi="宋体"/>
          <w:b/>
          <w:color w:val="auto"/>
          <w:szCs w:val="21"/>
          <w:highlight w:val="none"/>
        </w:rPr>
        <w:t>8.2 所提供的服务于本项目的主要设备</w:t>
      </w:r>
      <w:r>
        <w:rPr>
          <w:rFonts w:hAnsi="宋体"/>
          <w:b/>
          <w:color w:val="auto"/>
          <w:szCs w:val="21"/>
          <w:highlight w:val="none"/>
        </w:rPr>
        <w:t>/</w:t>
      </w:r>
      <w:r>
        <w:rPr>
          <w:rFonts w:hint="eastAsia" w:hAnsi="宋体"/>
          <w:b/>
          <w:color w:val="auto"/>
          <w:szCs w:val="21"/>
          <w:highlight w:val="none"/>
        </w:rPr>
        <w:t>材料一览表（如有）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03"/>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noWrap w:val="0"/>
            <w:vAlign w:val="center"/>
          </w:tcPr>
          <w:p>
            <w:pPr>
              <w:widowControl w:val="0"/>
              <w:autoSpaceDE w:val="0"/>
              <w:autoSpaceDN w:val="0"/>
              <w:adjustRightInd w:val="0"/>
              <w:jc w:val="center"/>
              <w:rPr>
                <w:rFonts w:hint="eastAsia" w:hAnsi="宋体"/>
                <w:b/>
                <w:color w:val="auto"/>
                <w:szCs w:val="21"/>
                <w:highlight w:val="none"/>
              </w:rPr>
            </w:pPr>
            <w:r>
              <w:rPr>
                <w:rFonts w:hint="eastAsia" w:ascii="宋体" w:cs="宋体"/>
                <w:b/>
                <w:color w:val="auto"/>
                <w:szCs w:val="21"/>
                <w:highlight w:val="none"/>
              </w:rPr>
              <w:t>序号</w:t>
            </w:r>
          </w:p>
        </w:tc>
        <w:tc>
          <w:tcPr>
            <w:tcW w:w="1903" w:type="dxa"/>
            <w:noWrap w:val="0"/>
            <w:vAlign w:val="center"/>
          </w:tcPr>
          <w:p>
            <w:pPr>
              <w:widowControl w:val="0"/>
              <w:autoSpaceDE w:val="0"/>
              <w:autoSpaceDN w:val="0"/>
              <w:adjustRightInd w:val="0"/>
              <w:jc w:val="center"/>
              <w:rPr>
                <w:rFonts w:hint="eastAsia" w:hAnsi="宋体"/>
                <w:b/>
                <w:color w:val="auto"/>
                <w:szCs w:val="21"/>
                <w:highlight w:val="none"/>
              </w:rPr>
            </w:pPr>
            <w:r>
              <w:rPr>
                <w:rFonts w:hint="eastAsia" w:ascii="宋体" w:cs="宋体"/>
                <w:b/>
                <w:color w:val="auto"/>
                <w:szCs w:val="21"/>
                <w:highlight w:val="none"/>
              </w:rPr>
              <w:t>设备</w:t>
            </w:r>
            <w:r>
              <w:rPr>
                <w:rFonts w:ascii="ËÎÌå" w:hAnsi="ËÎÌå" w:cs="ËÎÌå"/>
                <w:b/>
                <w:color w:val="auto"/>
                <w:szCs w:val="21"/>
                <w:highlight w:val="none"/>
              </w:rPr>
              <w:t>/</w:t>
            </w:r>
            <w:r>
              <w:rPr>
                <w:rFonts w:hint="eastAsia" w:ascii="宋体" w:cs="宋体"/>
                <w:b/>
                <w:color w:val="auto"/>
                <w:szCs w:val="21"/>
                <w:highlight w:val="none"/>
              </w:rPr>
              <w:t>材料名称</w:t>
            </w:r>
          </w:p>
        </w:tc>
        <w:tc>
          <w:tcPr>
            <w:tcW w:w="1548" w:type="dxa"/>
            <w:noWrap w:val="0"/>
            <w:vAlign w:val="center"/>
          </w:tcPr>
          <w:p>
            <w:pPr>
              <w:pStyle w:val="8"/>
              <w:spacing w:line="240" w:lineRule="auto"/>
              <w:jc w:val="center"/>
              <w:rPr>
                <w:rFonts w:hint="eastAsia" w:hAnsi="宋体"/>
                <w:b/>
                <w:color w:val="auto"/>
                <w:szCs w:val="21"/>
                <w:highlight w:val="none"/>
              </w:rPr>
            </w:pPr>
            <w:r>
              <w:rPr>
                <w:rFonts w:hint="eastAsia" w:cs="宋体"/>
                <w:b/>
                <w:color w:val="auto"/>
                <w:szCs w:val="21"/>
                <w:highlight w:val="none"/>
              </w:rPr>
              <w:t>规格型号</w:t>
            </w:r>
          </w:p>
        </w:tc>
        <w:tc>
          <w:tcPr>
            <w:tcW w:w="1548" w:type="dxa"/>
            <w:noWrap w:val="0"/>
            <w:vAlign w:val="center"/>
          </w:tcPr>
          <w:p>
            <w:pPr>
              <w:pStyle w:val="8"/>
              <w:spacing w:line="240" w:lineRule="auto"/>
              <w:jc w:val="center"/>
              <w:rPr>
                <w:rFonts w:hint="eastAsia" w:hAnsi="宋体"/>
                <w:b/>
                <w:color w:val="auto"/>
                <w:szCs w:val="21"/>
                <w:highlight w:val="none"/>
              </w:rPr>
            </w:pPr>
            <w:r>
              <w:rPr>
                <w:rFonts w:hint="eastAsia" w:cs="宋体"/>
                <w:b/>
                <w:color w:val="auto"/>
                <w:szCs w:val="21"/>
                <w:highlight w:val="none"/>
              </w:rPr>
              <w:t>数量</w:t>
            </w:r>
          </w:p>
        </w:tc>
        <w:tc>
          <w:tcPr>
            <w:tcW w:w="1548" w:type="dxa"/>
            <w:noWrap w:val="0"/>
            <w:vAlign w:val="center"/>
          </w:tcPr>
          <w:p>
            <w:pPr>
              <w:pStyle w:val="8"/>
              <w:spacing w:line="240" w:lineRule="auto"/>
              <w:jc w:val="center"/>
              <w:rPr>
                <w:rFonts w:hint="eastAsia" w:hAnsi="宋体"/>
                <w:b/>
                <w:color w:val="auto"/>
                <w:szCs w:val="21"/>
                <w:highlight w:val="none"/>
              </w:rPr>
            </w:pPr>
            <w:r>
              <w:rPr>
                <w:rFonts w:hint="eastAsia" w:cs="宋体"/>
                <w:b/>
                <w:color w:val="auto"/>
                <w:szCs w:val="21"/>
                <w:highlight w:val="none"/>
              </w:rPr>
              <w:t>出厂日期</w:t>
            </w:r>
          </w:p>
        </w:tc>
        <w:tc>
          <w:tcPr>
            <w:tcW w:w="1548" w:type="dxa"/>
            <w:noWrap w:val="0"/>
            <w:vAlign w:val="center"/>
          </w:tcPr>
          <w:p>
            <w:pPr>
              <w:pStyle w:val="8"/>
              <w:spacing w:line="240" w:lineRule="auto"/>
              <w:jc w:val="center"/>
              <w:rPr>
                <w:rFonts w:hint="eastAsia" w:hAnsi="宋体"/>
                <w:b/>
                <w:color w:val="auto"/>
                <w:szCs w:val="21"/>
                <w:highlight w:val="none"/>
              </w:rPr>
            </w:pPr>
            <w:r>
              <w:rPr>
                <w:rFonts w:hint="eastAsia" w:cs="宋体"/>
                <w:b/>
                <w:color w:val="auto"/>
                <w:szCs w:val="21"/>
                <w:highlight w:val="none"/>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8"/>
              <w:rPr>
                <w:rFonts w:hint="eastAsia" w:hAnsi="宋体"/>
                <w:color w:val="auto"/>
                <w:szCs w:val="21"/>
                <w:highlight w:val="none"/>
              </w:rPr>
            </w:pPr>
          </w:p>
        </w:tc>
        <w:tc>
          <w:tcPr>
            <w:tcW w:w="1903"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8"/>
              <w:rPr>
                <w:rFonts w:hint="eastAsia" w:hAnsi="宋体"/>
                <w:color w:val="auto"/>
                <w:szCs w:val="21"/>
                <w:highlight w:val="none"/>
              </w:rPr>
            </w:pPr>
          </w:p>
        </w:tc>
        <w:tc>
          <w:tcPr>
            <w:tcW w:w="1903"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8"/>
              <w:rPr>
                <w:rFonts w:hint="eastAsia" w:hAnsi="宋体"/>
                <w:color w:val="auto"/>
                <w:szCs w:val="21"/>
                <w:highlight w:val="none"/>
              </w:rPr>
            </w:pPr>
          </w:p>
        </w:tc>
        <w:tc>
          <w:tcPr>
            <w:tcW w:w="1903"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8"/>
              <w:rPr>
                <w:rFonts w:hint="eastAsia" w:hAnsi="宋体"/>
                <w:color w:val="auto"/>
                <w:szCs w:val="21"/>
                <w:highlight w:val="none"/>
              </w:rPr>
            </w:pPr>
          </w:p>
        </w:tc>
        <w:tc>
          <w:tcPr>
            <w:tcW w:w="1903"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pStyle w:val="8"/>
              <w:rPr>
                <w:rFonts w:hint="eastAsia" w:hAnsi="宋体"/>
                <w:color w:val="auto"/>
                <w:szCs w:val="21"/>
                <w:highlight w:val="none"/>
              </w:rPr>
            </w:pPr>
          </w:p>
        </w:tc>
        <w:tc>
          <w:tcPr>
            <w:tcW w:w="1903"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c>
          <w:tcPr>
            <w:tcW w:w="1548" w:type="dxa"/>
            <w:noWrap w:val="0"/>
            <w:vAlign w:val="top"/>
          </w:tcPr>
          <w:p>
            <w:pPr>
              <w:pStyle w:val="8"/>
              <w:rPr>
                <w:rFonts w:hint="eastAsia" w:hAnsi="宋体"/>
                <w:color w:val="auto"/>
                <w:szCs w:val="21"/>
                <w:highlight w:val="none"/>
              </w:rPr>
            </w:pPr>
          </w:p>
        </w:tc>
      </w:tr>
    </w:tbl>
    <w:p>
      <w:pPr>
        <w:rPr>
          <w:rFonts w:hint="eastAsia"/>
          <w:color w:val="auto"/>
          <w:highlight w:val="none"/>
        </w:rPr>
      </w:pP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tabs>
          <w:tab w:val="left" w:pos="540"/>
        </w:tabs>
        <w:spacing w:line="360" w:lineRule="auto"/>
        <w:rPr>
          <w:rFonts w:ascii="宋体" w:hAnsi="宋体"/>
          <w:color w:val="auto"/>
          <w:szCs w:val="21"/>
          <w:highlight w:val="none"/>
        </w:rPr>
      </w:pPr>
    </w:p>
    <w:p>
      <w:pPr>
        <w:pStyle w:val="8"/>
        <w:rPr>
          <w:rFonts w:hAnsi="宋体"/>
          <w:b/>
          <w:color w:val="auto"/>
          <w:szCs w:val="21"/>
          <w:highlight w:val="none"/>
        </w:rPr>
      </w:pPr>
      <w:bookmarkStart w:id="456" w:name="_Toc479158015"/>
      <w:r>
        <w:rPr>
          <w:rFonts w:hAnsi="宋体"/>
          <w:b/>
          <w:color w:val="auto"/>
          <w:szCs w:val="21"/>
          <w:highlight w:val="none"/>
        </w:rPr>
        <w:br w:type="page"/>
      </w:r>
      <w:r>
        <w:rPr>
          <w:rFonts w:hint="eastAsia" w:hAnsi="宋体"/>
          <w:b/>
          <w:color w:val="auto"/>
          <w:szCs w:val="21"/>
          <w:highlight w:val="none"/>
        </w:rPr>
        <w:t xml:space="preserve">8.3 </w:t>
      </w:r>
      <w:bookmarkEnd w:id="456"/>
      <w:r>
        <w:rPr>
          <w:rFonts w:hint="eastAsia" w:hAnsi="宋体"/>
          <w:b/>
          <w:color w:val="auto"/>
          <w:szCs w:val="21"/>
          <w:highlight w:val="none"/>
        </w:rPr>
        <w:t>项目经理/项目负责人资质</w:t>
      </w: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项目经理/项目负责人简介</w:t>
      </w:r>
    </w:p>
    <w:tbl>
      <w:tblPr>
        <w:tblStyle w:val="4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080"/>
        <w:gridCol w:w="10"/>
        <w:gridCol w:w="1286"/>
        <w:gridCol w:w="718"/>
        <w:gridCol w:w="1046"/>
        <w:gridCol w:w="720"/>
        <w:gridCol w:w="1080"/>
        <w:gridCol w:w="574"/>
        <w:gridCol w:w="180"/>
        <w:gridCol w:w="13"/>
        <w:gridCol w:w="1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188"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姓名</w:t>
            </w:r>
          </w:p>
        </w:tc>
        <w:tc>
          <w:tcPr>
            <w:tcW w:w="2376" w:type="dxa"/>
            <w:gridSpan w:val="3"/>
            <w:noWrap w:val="0"/>
            <w:vAlign w:val="center"/>
          </w:tcPr>
          <w:p>
            <w:pPr>
              <w:jc w:val="center"/>
              <w:rPr>
                <w:rFonts w:ascii="宋体" w:hAnsi="宋体"/>
                <w:b/>
                <w:color w:val="auto"/>
                <w:szCs w:val="21"/>
                <w:highlight w:val="none"/>
              </w:rPr>
            </w:pPr>
          </w:p>
        </w:tc>
        <w:tc>
          <w:tcPr>
            <w:tcW w:w="1764"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性别</w:t>
            </w:r>
          </w:p>
        </w:tc>
        <w:tc>
          <w:tcPr>
            <w:tcW w:w="1800" w:type="dxa"/>
            <w:gridSpan w:val="2"/>
            <w:noWrap w:val="0"/>
            <w:vAlign w:val="center"/>
          </w:tcPr>
          <w:p>
            <w:pPr>
              <w:jc w:val="center"/>
              <w:rPr>
                <w:rFonts w:ascii="宋体" w:hAnsi="宋体"/>
                <w:b/>
                <w:color w:val="auto"/>
                <w:szCs w:val="21"/>
                <w:highlight w:val="none"/>
              </w:rPr>
            </w:pPr>
          </w:p>
        </w:tc>
        <w:tc>
          <w:tcPr>
            <w:tcW w:w="767" w:type="dxa"/>
            <w:gridSpan w:val="3"/>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年龄</w:t>
            </w:r>
          </w:p>
        </w:tc>
        <w:tc>
          <w:tcPr>
            <w:tcW w:w="1573" w:type="dxa"/>
            <w:noWrap w:val="0"/>
            <w:vAlign w:val="center"/>
          </w:tcPr>
          <w:p>
            <w:pPr>
              <w:jc w:val="center"/>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1188"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职务</w:t>
            </w:r>
          </w:p>
        </w:tc>
        <w:tc>
          <w:tcPr>
            <w:tcW w:w="2376" w:type="dxa"/>
            <w:gridSpan w:val="3"/>
            <w:noWrap w:val="0"/>
            <w:vAlign w:val="center"/>
          </w:tcPr>
          <w:p>
            <w:pPr>
              <w:jc w:val="center"/>
              <w:rPr>
                <w:rFonts w:ascii="宋体" w:hAnsi="宋体"/>
                <w:b/>
                <w:color w:val="auto"/>
                <w:szCs w:val="21"/>
                <w:highlight w:val="none"/>
              </w:rPr>
            </w:pPr>
          </w:p>
        </w:tc>
        <w:tc>
          <w:tcPr>
            <w:tcW w:w="1764"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职称</w:t>
            </w:r>
          </w:p>
        </w:tc>
        <w:tc>
          <w:tcPr>
            <w:tcW w:w="1800" w:type="dxa"/>
            <w:gridSpan w:val="2"/>
            <w:noWrap w:val="0"/>
            <w:vAlign w:val="center"/>
          </w:tcPr>
          <w:p>
            <w:pPr>
              <w:jc w:val="center"/>
              <w:rPr>
                <w:rFonts w:ascii="宋体" w:hAnsi="宋体"/>
                <w:color w:val="auto"/>
                <w:szCs w:val="21"/>
                <w:highlight w:val="none"/>
              </w:rPr>
            </w:pPr>
          </w:p>
        </w:tc>
        <w:tc>
          <w:tcPr>
            <w:tcW w:w="767" w:type="dxa"/>
            <w:gridSpan w:val="3"/>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学历</w:t>
            </w:r>
          </w:p>
        </w:tc>
        <w:tc>
          <w:tcPr>
            <w:tcW w:w="1573" w:type="dxa"/>
            <w:noWrap w:val="0"/>
            <w:vAlign w:val="center"/>
          </w:tcPr>
          <w:p>
            <w:pPr>
              <w:jc w:val="center"/>
              <w:rPr>
                <w:rFonts w:ascii="宋体" w:hAnsi="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188"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办公电话</w:t>
            </w:r>
          </w:p>
        </w:tc>
        <w:tc>
          <w:tcPr>
            <w:tcW w:w="4140" w:type="dxa"/>
            <w:gridSpan w:val="5"/>
            <w:noWrap w:val="0"/>
            <w:vAlign w:val="center"/>
          </w:tcPr>
          <w:p>
            <w:pPr>
              <w:jc w:val="center"/>
              <w:rPr>
                <w:rFonts w:ascii="宋体" w:hAnsi="宋体"/>
                <w:b/>
                <w:color w:val="auto"/>
                <w:szCs w:val="21"/>
                <w:highlight w:val="none"/>
              </w:rPr>
            </w:pPr>
          </w:p>
        </w:tc>
        <w:tc>
          <w:tcPr>
            <w:tcW w:w="2567" w:type="dxa"/>
            <w:gridSpan w:val="5"/>
            <w:noWrap w:val="0"/>
            <w:vAlign w:val="center"/>
          </w:tcPr>
          <w:p>
            <w:pPr>
              <w:jc w:val="center"/>
              <w:rPr>
                <w:rFonts w:ascii="宋体" w:hAnsi="宋体"/>
                <w:b/>
                <w:color w:val="auto"/>
                <w:szCs w:val="21"/>
                <w:highlight w:val="none"/>
              </w:rPr>
            </w:pPr>
            <w:r>
              <w:rPr>
                <w:rFonts w:hint="eastAsia" w:ascii="宋体" w:hAnsi="宋体"/>
                <w:b/>
                <w:color w:val="auto"/>
                <w:szCs w:val="21"/>
                <w:highlight w:val="none"/>
              </w:rPr>
              <w:t>移动电话</w:t>
            </w:r>
          </w:p>
        </w:tc>
        <w:tc>
          <w:tcPr>
            <w:tcW w:w="1573" w:type="dxa"/>
            <w:noWrap w:val="0"/>
            <w:vAlign w:val="center"/>
          </w:tcPr>
          <w:p>
            <w:pPr>
              <w:jc w:val="center"/>
              <w:rPr>
                <w:rFonts w:ascii="宋体" w:hAnsi="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2268"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参加工作时间</w:t>
            </w:r>
          </w:p>
        </w:tc>
        <w:tc>
          <w:tcPr>
            <w:tcW w:w="3060" w:type="dxa"/>
            <w:gridSpan w:val="4"/>
            <w:noWrap w:val="0"/>
            <w:vAlign w:val="center"/>
          </w:tcPr>
          <w:p>
            <w:pPr>
              <w:jc w:val="center"/>
              <w:rPr>
                <w:rFonts w:ascii="宋体" w:hAnsi="宋体"/>
                <w:b/>
                <w:color w:val="auto"/>
                <w:szCs w:val="21"/>
                <w:highlight w:val="none"/>
              </w:rPr>
            </w:pPr>
          </w:p>
        </w:tc>
        <w:tc>
          <w:tcPr>
            <w:tcW w:w="2554" w:type="dxa"/>
            <w:gridSpan w:val="4"/>
            <w:noWrap w:val="0"/>
            <w:vAlign w:val="center"/>
          </w:tcPr>
          <w:p>
            <w:pPr>
              <w:jc w:val="center"/>
              <w:rPr>
                <w:rFonts w:ascii="宋体" w:hAnsi="宋体"/>
                <w:b/>
                <w:color w:val="auto"/>
                <w:szCs w:val="21"/>
                <w:highlight w:val="none"/>
              </w:rPr>
            </w:pPr>
            <w:r>
              <w:rPr>
                <w:rFonts w:hint="eastAsia" w:ascii="宋体" w:hAnsi="宋体"/>
                <w:b/>
                <w:color w:val="auto"/>
                <w:szCs w:val="21"/>
                <w:highlight w:val="none"/>
              </w:rPr>
              <w:t>从事同类项目/项目经理年限</w:t>
            </w:r>
          </w:p>
        </w:tc>
        <w:tc>
          <w:tcPr>
            <w:tcW w:w="1586" w:type="dxa"/>
            <w:gridSpan w:val="2"/>
            <w:noWrap w:val="0"/>
            <w:vAlign w:val="center"/>
          </w:tcPr>
          <w:p>
            <w:pPr>
              <w:jc w:val="center"/>
              <w:rPr>
                <w:rFonts w:ascii="宋体" w:hAnsi="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2268"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具有认证资质</w:t>
            </w:r>
          </w:p>
        </w:tc>
        <w:tc>
          <w:tcPr>
            <w:tcW w:w="7200" w:type="dxa"/>
            <w:gridSpan w:val="10"/>
            <w:noWrap w:val="0"/>
            <w:vAlign w:val="center"/>
          </w:tcPr>
          <w:p>
            <w:pPr>
              <w:jc w:val="center"/>
              <w:rPr>
                <w:rFonts w:ascii="宋体" w:hAnsi="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9468" w:type="dxa"/>
            <w:gridSpan w:val="1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曾参与的相关项目业绩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2278" w:type="dxa"/>
            <w:gridSpan w:val="3"/>
            <w:noWrap w:val="0"/>
            <w:vAlign w:val="center"/>
          </w:tcPr>
          <w:p>
            <w:pPr>
              <w:jc w:val="center"/>
              <w:rPr>
                <w:rFonts w:ascii="宋体" w:hAnsi="宋体"/>
                <w:b/>
                <w:color w:val="auto"/>
                <w:szCs w:val="21"/>
                <w:highlight w:val="none"/>
              </w:rPr>
            </w:pPr>
            <w:r>
              <w:rPr>
                <w:rFonts w:hint="eastAsia" w:ascii="宋体" w:hAnsi="宋体"/>
                <w:b/>
                <w:color w:val="auto"/>
                <w:szCs w:val="21"/>
                <w:highlight w:val="none"/>
              </w:rPr>
              <w:t>业主名称</w:t>
            </w:r>
          </w:p>
        </w:tc>
        <w:tc>
          <w:tcPr>
            <w:tcW w:w="2004"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项目名称</w:t>
            </w:r>
          </w:p>
        </w:tc>
        <w:tc>
          <w:tcPr>
            <w:tcW w:w="1766"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合同金额</w:t>
            </w:r>
          </w:p>
        </w:tc>
        <w:tc>
          <w:tcPr>
            <w:tcW w:w="1654" w:type="dxa"/>
            <w:gridSpan w:val="2"/>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完成时间</w:t>
            </w:r>
          </w:p>
        </w:tc>
        <w:tc>
          <w:tcPr>
            <w:tcW w:w="1766" w:type="dxa"/>
            <w:gridSpan w:val="3"/>
            <w:noWrap w:val="0"/>
            <w:vAlign w:val="center"/>
          </w:tcPr>
          <w:p>
            <w:pPr>
              <w:jc w:val="center"/>
              <w:rPr>
                <w:rFonts w:ascii="宋体" w:hAnsi="宋体"/>
                <w:b/>
                <w:color w:val="auto"/>
                <w:szCs w:val="21"/>
                <w:highlight w:val="none"/>
              </w:rPr>
            </w:pPr>
            <w:r>
              <w:rPr>
                <w:rFonts w:hint="eastAsia" w:ascii="宋体" w:hAnsi="宋体"/>
                <w:b/>
                <w:color w:val="auto"/>
                <w:szCs w:val="21"/>
                <w:highlight w:val="none"/>
              </w:rPr>
              <w:t>服务情况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s="Arial"/>
                <w:color w:val="auto"/>
                <w:szCs w:val="21"/>
                <w:highlight w:val="none"/>
              </w:rPr>
            </w:pPr>
          </w:p>
        </w:tc>
        <w:tc>
          <w:tcPr>
            <w:tcW w:w="2004" w:type="dxa"/>
            <w:gridSpan w:val="2"/>
            <w:noWrap w:val="0"/>
            <w:vAlign w:val="center"/>
          </w:tcPr>
          <w:p>
            <w:pPr>
              <w:spacing w:line="360" w:lineRule="auto"/>
              <w:rPr>
                <w:rFonts w:ascii="宋体" w:hAnsi="宋体" w:cs="Arial"/>
                <w:color w:val="auto"/>
                <w:szCs w:val="21"/>
                <w:highlight w:val="none"/>
              </w:rPr>
            </w:pPr>
          </w:p>
        </w:tc>
        <w:tc>
          <w:tcPr>
            <w:tcW w:w="1766" w:type="dxa"/>
            <w:gridSpan w:val="2"/>
            <w:noWrap w:val="0"/>
            <w:vAlign w:val="center"/>
          </w:tcPr>
          <w:p>
            <w:pPr>
              <w:spacing w:line="360" w:lineRule="auto"/>
              <w:jc w:val="center"/>
              <w:rPr>
                <w:rFonts w:ascii="宋体" w:hAnsi="宋体"/>
                <w:color w:val="auto"/>
                <w:szCs w:val="21"/>
                <w:highlight w:val="none"/>
              </w:rPr>
            </w:pPr>
          </w:p>
        </w:tc>
        <w:tc>
          <w:tcPr>
            <w:tcW w:w="1654" w:type="dxa"/>
            <w:gridSpan w:val="2"/>
            <w:noWrap w:val="0"/>
            <w:vAlign w:val="center"/>
          </w:tcPr>
          <w:p>
            <w:pPr>
              <w:spacing w:line="360" w:lineRule="auto"/>
              <w:jc w:val="center"/>
              <w:rPr>
                <w:rFonts w:ascii="宋体" w:hAnsi="宋体"/>
                <w:color w:val="auto"/>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s="Arial"/>
                <w:color w:val="auto"/>
                <w:szCs w:val="21"/>
                <w:highlight w:val="none"/>
              </w:rPr>
            </w:pPr>
          </w:p>
        </w:tc>
        <w:tc>
          <w:tcPr>
            <w:tcW w:w="2004" w:type="dxa"/>
            <w:gridSpan w:val="2"/>
            <w:noWrap w:val="0"/>
            <w:vAlign w:val="center"/>
          </w:tcPr>
          <w:p>
            <w:pPr>
              <w:spacing w:line="360" w:lineRule="auto"/>
              <w:rPr>
                <w:rFonts w:ascii="宋体" w:hAnsi="宋体" w:cs="Arial"/>
                <w:color w:val="auto"/>
                <w:szCs w:val="21"/>
                <w:highlight w:val="none"/>
              </w:rPr>
            </w:pPr>
          </w:p>
        </w:tc>
        <w:tc>
          <w:tcPr>
            <w:tcW w:w="1766" w:type="dxa"/>
            <w:gridSpan w:val="2"/>
            <w:noWrap w:val="0"/>
            <w:vAlign w:val="center"/>
          </w:tcPr>
          <w:p>
            <w:pPr>
              <w:spacing w:line="360" w:lineRule="auto"/>
              <w:jc w:val="center"/>
              <w:rPr>
                <w:rFonts w:ascii="宋体" w:hAnsi="宋体"/>
                <w:color w:val="auto"/>
                <w:szCs w:val="21"/>
                <w:highlight w:val="none"/>
              </w:rPr>
            </w:pPr>
          </w:p>
        </w:tc>
        <w:tc>
          <w:tcPr>
            <w:tcW w:w="1654" w:type="dxa"/>
            <w:gridSpan w:val="2"/>
            <w:noWrap w:val="0"/>
            <w:vAlign w:val="center"/>
          </w:tcPr>
          <w:p>
            <w:pPr>
              <w:spacing w:line="360" w:lineRule="auto"/>
              <w:jc w:val="center"/>
              <w:rPr>
                <w:rFonts w:ascii="宋体" w:hAnsi="宋体"/>
                <w:color w:val="auto"/>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olor w:val="auto"/>
                <w:szCs w:val="21"/>
                <w:highlight w:val="none"/>
              </w:rPr>
            </w:pPr>
          </w:p>
        </w:tc>
        <w:tc>
          <w:tcPr>
            <w:tcW w:w="2004" w:type="dxa"/>
            <w:gridSpan w:val="2"/>
            <w:noWrap w:val="0"/>
            <w:vAlign w:val="center"/>
          </w:tcPr>
          <w:p>
            <w:pPr>
              <w:spacing w:line="360" w:lineRule="auto"/>
              <w:rPr>
                <w:rFonts w:ascii="宋体" w:hAnsi="宋体"/>
                <w:color w:val="auto"/>
                <w:szCs w:val="21"/>
                <w:highlight w:val="none"/>
              </w:rPr>
            </w:pPr>
          </w:p>
        </w:tc>
        <w:tc>
          <w:tcPr>
            <w:tcW w:w="1766" w:type="dxa"/>
            <w:gridSpan w:val="2"/>
            <w:noWrap w:val="0"/>
            <w:vAlign w:val="center"/>
          </w:tcPr>
          <w:p>
            <w:pPr>
              <w:spacing w:line="360" w:lineRule="auto"/>
              <w:jc w:val="center"/>
              <w:rPr>
                <w:rFonts w:ascii="宋体" w:hAnsi="宋体"/>
                <w:color w:val="auto"/>
                <w:szCs w:val="21"/>
                <w:highlight w:val="none"/>
              </w:rPr>
            </w:pPr>
          </w:p>
        </w:tc>
        <w:tc>
          <w:tcPr>
            <w:tcW w:w="1654" w:type="dxa"/>
            <w:gridSpan w:val="2"/>
            <w:noWrap w:val="0"/>
            <w:vAlign w:val="center"/>
          </w:tcPr>
          <w:p>
            <w:pPr>
              <w:spacing w:line="360" w:lineRule="auto"/>
              <w:jc w:val="center"/>
              <w:rPr>
                <w:rFonts w:ascii="宋体" w:hAnsi="宋体"/>
                <w:color w:val="auto"/>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olor w:val="auto"/>
                <w:szCs w:val="21"/>
                <w:highlight w:val="none"/>
              </w:rPr>
            </w:pPr>
          </w:p>
        </w:tc>
        <w:tc>
          <w:tcPr>
            <w:tcW w:w="2004" w:type="dxa"/>
            <w:gridSpan w:val="2"/>
            <w:noWrap w:val="0"/>
            <w:vAlign w:val="center"/>
          </w:tcPr>
          <w:p>
            <w:pPr>
              <w:spacing w:line="360" w:lineRule="auto"/>
              <w:rPr>
                <w:rFonts w:ascii="宋体" w:hAnsi="宋体"/>
                <w:color w:val="auto"/>
                <w:szCs w:val="21"/>
                <w:highlight w:val="none"/>
              </w:rPr>
            </w:pPr>
          </w:p>
        </w:tc>
        <w:tc>
          <w:tcPr>
            <w:tcW w:w="1766" w:type="dxa"/>
            <w:gridSpan w:val="2"/>
            <w:noWrap w:val="0"/>
            <w:vAlign w:val="center"/>
          </w:tcPr>
          <w:p>
            <w:pPr>
              <w:spacing w:line="360" w:lineRule="auto"/>
              <w:jc w:val="center"/>
              <w:rPr>
                <w:rFonts w:ascii="宋体" w:hAnsi="宋体"/>
                <w:color w:val="auto"/>
                <w:szCs w:val="21"/>
                <w:highlight w:val="none"/>
              </w:rPr>
            </w:pPr>
          </w:p>
        </w:tc>
        <w:tc>
          <w:tcPr>
            <w:tcW w:w="1654" w:type="dxa"/>
            <w:gridSpan w:val="2"/>
            <w:noWrap w:val="0"/>
            <w:vAlign w:val="center"/>
          </w:tcPr>
          <w:p>
            <w:pPr>
              <w:spacing w:line="360" w:lineRule="auto"/>
              <w:jc w:val="center"/>
              <w:rPr>
                <w:rFonts w:ascii="宋体" w:hAnsi="宋体"/>
                <w:color w:val="auto"/>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s="Arial"/>
                <w:color w:val="auto"/>
                <w:szCs w:val="21"/>
                <w:highlight w:val="none"/>
              </w:rPr>
            </w:pPr>
          </w:p>
        </w:tc>
        <w:tc>
          <w:tcPr>
            <w:tcW w:w="2004" w:type="dxa"/>
            <w:gridSpan w:val="2"/>
            <w:noWrap w:val="0"/>
            <w:vAlign w:val="center"/>
          </w:tcPr>
          <w:p>
            <w:pPr>
              <w:spacing w:line="360" w:lineRule="auto"/>
              <w:rPr>
                <w:rFonts w:ascii="宋体" w:hAnsi="宋体" w:cs="Arial"/>
                <w:color w:val="auto"/>
                <w:szCs w:val="21"/>
                <w:highlight w:val="none"/>
              </w:rPr>
            </w:pPr>
          </w:p>
        </w:tc>
        <w:tc>
          <w:tcPr>
            <w:tcW w:w="1766" w:type="dxa"/>
            <w:gridSpan w:val="2"/>
            <w:noWrap w:val="0"/>
            <w:vAlign w:val="center"/>
          </w:tcPr>
          <w:p>
            <w:pPr>
              <w:spacing w:line="360" w:lineRule="auto"/>
              <w:jc w:val="center"/>
              <w:rPr>
                <w:rFonts w:ascii="宋体" w:hAnsi="宋体"/>
                <w:color w:val="auto"/>
                <w:szCs w:val="21"/>
                <w:highlight w:val="none"/>
              </w:rPr>
            </w:pPr>
          </w:p>
        </w:tc>
        <w:tc>
          <w:tcPr>
            <w:tcW w:w="1654" w:type="dxa"/>
            <w:gridSpan w:val="2"/>
            <w:noWrap w:val="0"/>
            <w:vAlign w:val="center"/>
          </w:tcPr>
          <w:p>
            <w:pPr>
              <w:spacing w:line="360" w:lineRule="auto"/>
              <w:jc w:val="center"/>
              <w:rPr>
                <w:rFonts w:ascii="宋体" w:hAnsi="宋体"/>
                <w:color w:val="auto"/>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78" w:type="dxa"/>
            <w:gridSpan w:val="3"/>
            <w:noWrap w:val="0"/>
            <w:vAlign w:val="center"/>
          </w:tcPr>
          <w:p>
            <w:pPr>
              <w:spacing w:line="360" w:lineRule="auto"/>
              <w:rPr>
                <w:rFonts w:ascii="宋体" w:hAnsi="宋体" w:cs="Arial"/>
                <w:color w:val="auto"/>
                <w:szCs w:val="21"/>
                <w:highlight w:val="none"/>
              </w:rPr>
            </w:pPr>
          </w:p>
        </w:tc>
        <w:tc>
          <w:tcPr>
            <w:tcW w:w="2004" w:type="dxa"/>
            <w:gridSpan w:val="2"/>
            <w:noWrap w:val="0"/>
            <w:vAlign w:val="center"/>
          </w:tcPr>
          <w:p>
            <w:pPr>
              <w:spacing w:line="360" w:lineRule="auto"/>
              <w:ind w:left="126" w:leftChars="60" w:right="126" w:rightChars="60"/>
              <w:rPr>
                <w:rFonts w:ascii="宋体" w:hAnsi="宋体" w:cs="Arial"/>
                <w:color w:val="auto"/>
                <w:szCs w:val="21"/>
                <w:highlight w:val="none"/>
              </w:rPr>
            </w:pPr>
          </w:p>
        </w:tc>
        <w:tc>
          <w:tcPr>
            <w:tcW w:w="1766" w:type="dxa"/>
            <w:gridSpan w:val="2"/>
            <w:noWrap w:val="0"/>
            <w:vAlign w:val="center"/>
          </w:tcPr>
          <w:p>
            <w:pPr>
              <w:spacing w:line="360" w:lineRule="auto"/>
              <w:jc w:val="center"/>
              <w:rPr>
                <w:rFonts w:ascii="宋体" w:hAnsi="宋体" w:cs="Arial"/>
                <w:color w:val="auto"/>
                <w:szCs w:val="21"/>
                <w:highlight w:val="none"/>
              </w:rPr>
            </w:pPr>
          </w:p>
        </w:tc>
        <w:tc>
          <w:tcPr>
            <w:tcW w:w="1654" w:type="dxa"/>
            <w:gridSpan w:val="2"/>
            <w:noWrap w:val="0"/>
            <w:vAlign w:val="center"/>
          </w:tcPr>
          <w:p>
            <w:pPr>
              <w:pStyle w:val="200"/>
              <w:widowControl w:val="0"/>
              <w:spacing w:before="0" w:beforeAutospacing="0" w:after="0" w:afterAutospacing="0" w:line="360" w:lineRule="auto"/>
              <w:textAlignment w:val="baseline"/>
              <w:rPr>
                <w:rFonts w:cs="Arial"/>
                <w:color w:val="auto"/>
                <w:kern w:val="2"/>
                <w:sz w:val="21"/>
                <w:szCs w:val="21"/>
                <w:highlight w:val="none"/>
              </w:rPr>
            </w:pPr>
          </w:p>
        </w:tc>
        <w:tc>
          <w:tcPr>
            <w:tcW w:w="1766" w:type="dxa"/>
            <w:gridSpan w:val="3"/>
            <w:noWrap w:val="0"/>
            <w:vAlign w:val="center"/>
          </w:tcPr>
          <w:p>
            <w:pPr>
              <w:spacing w:line="360" w:lineRule="auto"/>
              <w:rPr>
                <w:rFonts w:ascii="宋体" w:hAnsi="宋体"/>
                <w:color w:val="auto"/>
                <w:szCs w:val="21"/>
                <w:highlight w:val="none"/>
              </w:rPr>
            </w:pPr>
          </w:p>
        </w:tc>
      </w:tr>
    </w:tbl>
    <w:p>
      <w:pPr>
        <w:spacing w:line="360" w:lineRule="auto"/>
        <w:ind w:left="401" w:hanging="401" w:hangingChars="190"/>
        <w:rPr>
          <w:rFonts w:ascii="宋体" w:hAnsi="宋体"/>
          <w:b/>
          <w:color w:val="auto"/>
          <w:szCs w:val="21"/>
          <w:highlight w:val="none"/>
        </w:rPr>
      </w:pPr>
      <w:r>
        <w:rPr>
          <w:rFonts w:hint="eastAsia" w:ascii="宋体" w:hAnsi="宋体"/>
          <w:b/>
          <w:color w:val="auto"/>
          <w:szCs w:val="21"/>
          <w:highlight w:val="none"/>
        </w:rPr>
        <w:t>注：1、供应商须按上表的内容如实填写。</w:t>
      </w:r>
    </w:p>
    <w:p>
      <w:pPr>
        <w:spacing w:line="360" w:lineRule="auto"/>
        <w:ind w:left="401" w:hanging="401" w:hangingChars="190"/>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ind w:left="210" w:leftChars="100" w:firstLine="211" w:firstLineChars="100"/>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8"/>
        <w:rPr>
          <w:rFonts w:hAnsi="宋体"/>
          <w:b/>
          <w:color w:val="auto"/>
          <w:szCs w:val="21"/>
          <w:highlight w:val="none"/>
        </w:rPr>
      </w:pPr>
      <w:r>
        <w:rPr>
          <w:rFonts w:hAnsi="宋体"/>
          <w:color w:val="auto"/>
          <w:szCs w:val="21"/>
          <w:highlight w:val="none"/>
        </w:rPr>
        <w:br w:type="page"/>
      </w:r>
      <w:r>
        <w:rPr>
          <w:rFonts w:hint="eastAsia" w:hAnsi="宋体"/>
          <w:b/>
          <w:color w:val="auto"/>
          <w:szCs w:val="21"/>
          <w:highlight w:val="none"/>
        </w:rPr>
        <w:t>8</w:t>
      </w:r>
      <w:r>
        <w:rPr>
          <w:rFonts w:hAnsi="宋体"/>
          <w:b/>
          <w:color w:val="auto"/>
          <w:szCs w:val="21"/>
          <w:highlight w:val="none"/>
        </w:rPr>
        <w:t>.</w:t>
      </w:r>
      <w:r>
        <w:rPr>
          <w:rFonts w:hint="eastAsia" w:hAnsi="宋体"/>
          <w:b/>
          <w:color w:val="auto"/>
          <w:szCs w:val="21"/>
          <w:highlight w:val="none"/>
        </w:rPr>
        <w:t>4 项目组成员配备情况表</w:t>
      </w: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项目组成员（不含项目经理/项目负责人）配备情况表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491"/>
        <w:gridCol w:w="1806"/>
        <w:gridCol w:w="1001"/>
        <w:gridCol w:w="1130"/>
        <w:gridCol w:w="191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blHeader/>
        </w:trPr>
        <w:tc>
          <w:tcPr>
            <w:tcW w:w="1059"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序 号</w:t>
            </w:r>
          </w:p>
        </w:tc>
        <w:tc>
          <w:tcPr>
            <w:tcW w:w="1491" w:type="dxa"/>
            <w:noWrap w:val="0"/>
            <w:vAlign w:val="center"/>
          </w:tcPr>
          <w:p>
            <w:pPr>
              <w:autoSpaceDE w:val="0"/>
              <w:autoSpaceDN w:val="0"/>
              <w:adjustRightInd w:val="0"/>
              <w:snapToGrid w:val="0"/>
              <w:ind w:firstLine="211" w:firstLineChars="100"/>
              <w:jc w:val="center"/>
              <w:rPr>
                <w:rFonts w:ascii="宋体" w:hAnsi="宋体"/>
                <w:b/>
                <w:color w:val="auto"/>
                <w:szCs w:val="21"/>
                <w:highlight w:val="none"/>
              </w:rPr>
            </w:pPr>
            <w:r>
              <w:rPr>
                <w:rFonts w:hint="eastAsia" w:ascii="宋体" w:hAnsi="宋体"/>
                <w:b/>
                <w:color w:val="auto"/>
                <w:szCs w:val="21"/>
                <w:highlight w:val="none"/>
              </w:rPr>
              <w:t>姓 名</w:t>
            </w:r>
          </w:p>
        </w:tc>
        <w:tc>
          <w:tcPr>
            <w:tcW w:w="1806"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拟担任本</w:t>
            </w:r>
          </w:p>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项目职务</w:t>
            </w:r>
          </w:p>
        </w:tc>
        <w:tc>
          <w:tcPr>
            <w:tcW w:w="1001"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学历</w:t>
            </w:r>
          </w:p>
        </w:tc>
        <w:tc>
          <w:tcPr>
            <w:tcW w:w="1130" w:type="dxa"/>
            <w:noWrap w:val="0"/>
            <w:vAlign w:val="top"/>
          </w:tcPr>
          <w:p>
            <w:pPr>
              <w:autoSpaceDE w:val="0"/>
              <w:autoSpaceDN w:val="0"/>
              <w:adjustRightInd w:val="0"/>
              <w:snapToGrid w:val="0"/>
              <w:jc w:val="center"/>
              <w:rPr>
                <w:rFonts w:hint="eastAsia" w:ascii="宋体" w:hAnsi="宋体"/>
                <w:b/>
                <w:color w:val="auto"/>
                <w:szCs w:val="21"/>
                <w:highlight w:val="none"/>
              </w:rPr>
            </w:pPr>
            <w:r>
              <w:rPr>
                <w:rFonts w:hint="eastAsia" w:ascii="宋体" w:hAnsi="宋体"/>
                <w:b/>
                <w:color w:val="auto"/>
                <w:szCs w:val="21"/>
                <w:highlight w:val="none"/>
              </w:rPr>
              <w:t>职称/</w:t>
            </w:r>
            <w:r>
              <w:rPr>
                <w:rFonts w:ascii="宋体" w:hAnsi="宋体"/>
                <w:b/>
                <w:color w:val="auto"/>
                <w:szCs w:val="21"/>
                <w:highlight w:val="none"/>
              </w:rPr>
              <w:t>资质</w:t>
            </w:r>
          </w:p>
        </w:tc>
        <w:tc>
          <w:tcPr>
            <w:tcW w:w="1919"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同类经验（参与的项目名称）</w:t>
            </w:r>
          </w:p>
        </w:tc>
        <w:tc>
          <w:tcPr>
            <w:tcW w:w="1355" w:type="dxa"/>
            <w:noWrap w:val="0"/>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noWrap w:val="0"/>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1491" w:type="dxa"/>
            <w:noWrap w:val="0"/>
            <w:vAlign w:val="center"/>
          </w:tcPr>
          <w:p>
            <w:pPr>
              <w:adjustRightInd w:val="0"/>
              <w:snapToGrid w:val="0"/>
              <w:spacing w:line="360" w:lineRule="auto"/>
              <w:jc w:val="center"/>
              <w:rPr>
                <w:rFonts w:ascii="宋体" w:hAnsi="宋体"/>
                <w:b/>
                <w:color w:val="auto"/>
                <w:szCs w:val="21"/>
                <w:highlight w:val="none"/>
              </w:rPr>
            </w:pPr>
          </w:p>
        </w:tc>
        <w:tc>
          <w:tcPr>
            <w:tcW w:w="1806" w:type="dxa"/>
            <w:noWrap w:val="0"/>
            <w:vAlign w:val="center"/>
          </w:tcPr>
          <w:p>
            <w:pPr>
              <w:adjustRightInd w:val="0"/>
              <w:snapToGrid w:val="0"/>
              <w:spacing w:line="360" w:lineRule="auto"/>
              <w:jc w:val="center"/>
              <w:rPr>
                <w:rFonts w:ascii="宋体" w:hAnsi="宋体"/>
                <w:color w:val="auto"/>
                <w:szCs w:val="21"/>
                <w:highlight w:val="none"/>
              </w:rPr>
            </w:pPr>
          </w:p>
        </w:tc>
        <w:tc>
          <w:tcPr>
            <w:tcW w:w="1001" w:type="dxa"/>
            <w:noWrap w:val="0"/>
            <w:vAlign w:val="center"/>
          </w:tcPr>
          <w:p>
            <w:pPr>
              <w:adjustRightInd w:val="0"/>
              <w:snapToGrid w:val="0"/>
              <w:spacing w:line="360" w:lineRule="auto"/>
              <w:jc w:val="center"/>
              <w:rPr>
                <w:rFonts w:ascii="宋体" w:hAnsi="宋体"/>
                <w:b/>
                <w:color w:val="auto"/>
                <w:szCs w:val="21"/>
                <w:highlight w:val="none"/>
              </w:rPr>
            </w:pPr>
          </w:p>
        </w:tc>
        <w:tc>
          <w:tcPr>
            <w:tcW w:w="1130" w:type="dxa"/>
            <w:noWrap w:val="0"/>
            <w:vAlign w:val="top"/>
          </w:tcPr>
          <w:p>
            <w:pPr>
              <w:adjustRightInd w:val="0"/>
              <w:snapToGrid w:val="0"/>
              <w:spacing w:line="360" w:lineRule="auto"/>
              <w:jc w:val="center"/>
              <w:rPr>
                <w:rFonts w:ascii="宋体" w:hAnsi="宋体"/>
                <w:b/>
                <w:color w:val="auto"/>
                <w:szCs w:val="21"/>
                <w:highlight w:val="none"/>
              </w:rPr>
            </w:pPr>
          </w:p>
        </w:tc>
        <w:tc>
          <w:tcPr>
            <w:tcW w:w="1919" w:type="dxa"/>
            <w:noWrap w:val="0"/>
            <w:vAlign w:val="center"/>
          </w:tcPr>
          <w:p>
            <w:pPr>
              <w:adjustRightInd w:val="0"/>
              <w:snapToGrid w:val="0"/>
              <w:spacing w:line="360" w:lineRule="auto"/>
              <w:jc w:val="center"/>
              <w:rPr>
                <w:rFonts w:ascii="宋体" w:hAnsi="宋体"/>
                <w:b/>
                <w:color w:val="auto"/>
                <w:szCs w:val="21"/>
                <w:highlight w:val="none"/>
              </w:rPr>
            </w:pPr>
          </w:p>
        </w:tc>
        <w:tc>
          <w:tcPr>
            <w:tcW w:w="1355" w:type="dxa"/>
            <w:noWrap w:val="0"/>
            <w:vAlign w:val="center"/>
          </w:tcPr>
          <w:p>
            <w:pPr>
              <w:adjustRightInd w:val="0"/>
              <w:snapToGrid w:val="0"/>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491" w:type="dxa"/>
            <w:noWrap w:val="0"/>
            <w:vAlign w:val="center"/>
          </w:tcPr>
          <w:p>
            <w:pPr>
              <w:adjustRightInd w:val="0"/>
              <w:snapToGrid w:val="0"/>
              <w:spacing w:line="360" w:lineRule="auto"/>
              <w:jc w:val="center"/>
              <w:rPr>
                <w:rFonts w:ascii="宋体" w:hAnsi="宋体"/>
                <w:color w:val="auto"/>
                <w:szCs w:val="21"/>
                <w:highlight w:val="none"/>
              </w:rPr>
            </w:pPr>
          </w:p>
        </w:tc>
        <w:tc>
          <w:tcPr>
            <w:tcW w:w="1806" w:type="dxa"/>
            <w:noWrap w:val="0"/>
            <w:vAlign w:val="center"/>
          </w:tcPr>
          <w:p>
            <w:pPr>
              <w:adjustRightInd w:val="0"/>
              <w:snapToGrid w:val="0"/>
              <w:spacing w:line="360" w:lineRule="auto"/>
              <w:jc w:val="center"/>
              <w:rPr>
                <w:rFonts w:ascii="宋体" w:hAnsi="宋体"/>
                <w:color w:val="auto"/>
                <w:szCs w:val="21"/>
                <w:highlight w:val="none"/>
              </w:rPr>
            </w:pPr>
          </w:p>
        </w:tc>
        <w:tc>
          <w:tcPr>
            <w:tcW w:w="1001" w:type="dxa"/>
            <w:noWrap w:val="0"/>
            <w:vAlign w:val="center"/>
          </w:tcPr>
          <w:p>
            <w:pPr>
              <w:adjustRightInd w:val="0"/>
              <w:snapToGrid w:val="0"/>
              <w:spacing w:line="360" w:lineRule="auto"/>
              <w:jc w:val="center"/>
              <w:rPr>
                <w:rFonts w:ascii="宋体" w:hAnsi="宋体"/>
                <w:color w:val="auto"/>
                <w:szCs w:val="21"/>
                <w:highlight w:val="none"/>
              </w:rPr>
            </w:pPr>
          </w:p>
        </w:tc>
        <w:tc>
          <w:tcPr>
            <w:tcW w:w="1130" w:type="dxa"/>
            <w:noWrap w:val="0"/>
            <w:vAlign w:val="top"/>
          </w:tcPr>
          <w:p>
            <w:pPr>
              <w:adjustRightInd w:val="0"/>
              <w:snapToGrid w:val="0"/>
              <w:spacing w:line="360" w:lineRule="auto"/>
              <w:jc w:val="center"/>
              <w:rPr>
                <w:rFonts w:ascii="宋体" w:hAnsi="宋体"/>
                <w:color w:val="auto"/>
                <w:szCs w:val="21"/>
                <w:highlight w:val="none"/>
              </w:rPr>
            </w:pPr>
          </w:p>
        </w:tc>
        <w:tc>
          <w:tcPr>
            <w:tcW w:w="1919" w:type="dxa"/>
            <w:noWrap w:val="0"/>
            <w:vAlign w:val="center"/>
          </w:tcPr>
          <w:p>
            <w:pPr>
              <w:adjustRightInd w:val="0"/>
              <w:snapToGrid w:val="0"/>
              <w:spacing w:line="360" w:lineRule="auto"/>
              <w:jc w:val="center"/>
              <w:rPr>
                <w:rFonts w:ascii="宋体" w:hAnsi="宋体"/>
                <w:color w:val="auto"/>
                <w:szCs w:val="21"/>
                <w:highlight w:val="none"/>
              </w:rPr>
            </w:pPr>
          </w:p>
        </w:tc>
        <w:tc>
          <w:tcPr>
            <w:tcW w:w="1355" w:type="dxa"/>
            <w:noWrap w:val="0"/>
            <w:vAlign w:val="center"/>
          </w:tcPr>
          <w:p>
            <w:pPr>
              <w:adjustRightInd w:val="0"/>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491" w:type="dxa"/>
            <w:noWrap w:val="0"/>
            <w:vAlign w:val="center"/>
          </w:tcPr>
          <w:p>
            <w:pPr>
              <w:adjustRightInd w:val="0"/>
              <w:snapToGrid w:val="0"/>
              <w:spacing w:line="360" w:lineRule="auto"/>
              <w:jc w:val="center"/>
              <w:rPr>
                <w:rFonts w:ascii="宋体" w:hAnsi="宋体"/>
                <w:color w:val="auto"/>
                <w:szCs w:val="21"/>
                <w:highlight w:val="none"/>
              </w:rPr>
            </w:pPr>
          </w:p>
        </w:tc>
        <w:tc>
          <w:tcPr>
            <w:tcW w:w="1806" w:type="dxa"/>
            <w:noWrap w:val="0"/>
            <w:vAlign w:val="center"/>
          </w:tcPr>
          <w:p>
            <w:pPr>
              <w:adjustRightInd w:val="0"/>
              <w:snapToGrid w:val="0"/>
              <w:spacing w:line="360" w:lineRule="auto"/>
              <w:jc w:val="center"/>
              <w:rPr>
                <w:rFonts w:ascii="宋体" w:hAnsi="宋体"/>
                <w:color w:val="auto"/>
                <w:szCs w:val="21"/>
                <w:highlight w:val="none"/>
              </w:rPr>
            </w:pPr>
          </w:p>
        </w:tc>
        <w:tc>
          <w:tcPr>
            <w:tcW w:w="1001" w:type="dxa"/>
            <w:noWrap w:val="0"/>
            <w:vAlign w:val="center"/>
          </w:tcPr>
          <w:p>
            <w:pPr>
              <w:adjustRightInd w:val="0"/>
              <w:snapToGrid w:val="0"/>
              <w:spacing w:line="360" w:lineRule="auto"/>
              <w:jc w:val="center"/>
              <w:rPr>
                <w:rFonts w:ascii="宋体" w:hAnsi="宋体"/>
                <w:color w:val="auto"/>
                <w:szCs w:val="21"/>
                <w:highlight w:val="none"/>
              </w:rPr>
            </w:pPr>
          </w:p>
        </w:tc>
        <w:tc>
          <w:tcPr>
            <w:tcW w:w="1130" w:type="dxa"/>
            <w:noWrap w:val="0"/>
            <w:vAlign w:val="top"/>
          </w:tcPr>
          <w:p>
            <w:pPr>
              <w:adjustRightInd w:val="0"/>
              <w:snapToGrid w:val="0"/>
              <w:spacing w:line="360" w:lineRule="auto"/>
              <w:jc w:val="center"/>
              <w:rPr>
                <w:rFonts w:ascii="宋体" w:hAnsi="宋体"/>
                <w:color w:val="auto"/>
                <w:szCs w:val="21"/>
                <w:highlight w:val="none"/>
              </w:rPr>
            </w:pPr>
          </w:p>
        </w:tc>
        <w:tc>
          <w:tcPr>
            <w:tcW w:w="1919" w:type="dxa"/>
            <w:noWrap w:val="0"/>
            <w:vAlign w:val="center"/>
          </w:tcPr>
          <w:p>
            <w:pPr>
              <w:adjustRightInd w:val="0"/>
              <w:snapToGrid w:val="0"/>
              <w:spacing w:line="360" w:lineRule="auto"/>
              <w:jc w:val="center"/>
              <w:rPr>
                <w:rFonts w:ascii="宋体" w:hAnsi="宋体"/>
                <w:color w:val="auto"/>
                <w:szCs w:val="21"/>
                <w:highlight w:val="none"/>
              </w:rPr>
            </w:pPr>
          </w:p>
        </w:tc>
        <w:tc>
          <w:tcPr>
            <w:tcW w:w="1355" w:type="dxa"/>
            <w:noWrap w:val="0"/>
            <w:vAlign w:val="center"/>
          </w:tcPr>
          <w:p>
            <w:pPr>
              <w:adjustRightInd w:val="0"/>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491" w:type="dxa"/>
            <w:noWrap w:val="0"/>
            <w:vAlign w:val="center"/>
          </w:tcPr>
          <w:p>
            <w:pPr>
              <w:adjustRightInd w:val="0"/>
              <w:snapToGrid w:val="0"/>
              <w:spacing w:line="360" w:lineRule="auto"/>
              <w:jc w:val="center"/>
              <w:rPr>
                <w:rFonts w:ascii="宋体" w:hAnsi="宋体"/>
                <w:color w:val="auto"/>
                <w:szCs w:val="21"/>
                <w:highlight w:val="none"/>
              </w:rPr>
            </w:pPr>
          </w:p>
        </w:tc>
        <w:tc>
          <w:tcPr>
            <w:tcW w:w="1806" w:type="dxa"/>
            <w:noWrap w:val="0"/>
            <w:vAlign w:val="center"/>
          </w:tcPr>
          <w:p>
            <w:pPr>
              <w:adjustRightInd w:val="0"/>
              <w:snapToGrid w:val="0"/>
              <w:spacing w:line="360" w:lineRule="auto"/>
              <w:jc w:val="center"/>
              <w:rPr>
                <w:rFonts w:ascii="宋体" w:hAnsi="宋体"/>
                <w:color w:val="auto"/>
                <w:szCs w:val="21"/>
                <w:highlight w:val="none"/>
              </w:rPr>
            </w:pPr>
          </w:p>
        </w:tc>
        <w:tc>
          <w:tcPr>
            <w:tcW w:w="1001" w:type="dxa"/>
            <w:noWrap w:val="0"/>
            <w:vAlign w:val="center"/>
          </w:tcPr>
          <w:p>
            <w:pPr>
              <w:adjustRightInd w:val="0"/>
              <w:snapToGrid w:val="0"/>
              <w:spacing w:line="360" w:lineRule="auto"/>
              <w:jc w:val="center"/>
              <w:rPr>
                <w:rFonts w:ascii="宋体" w:hAnsi="宋体"/>
                <w:color w:val="auto"/>
                <w:szCs w:val="21"/>
                <w:highlight w:val="none"/>
              </w:rPr>
            </w:pPr>
          </w:p>
        </w:tc>
        <w:tc>
          <w:tcPr>
            <w:tcW w:w="1130" w:type="dxa"/>
            <w:noWrap w:val="0"/>
            <w:vAlign w:val="top"/>
          </w:tcPr>
          <w:p>
            <w:pPr>
              <w:adjustRightInd w:val="0"/>
              <w:snapToGrid w:val="0"/>
              <w:spacing w:line="360" w:lineRule="auto"/>
              <w:jc w:val="center"/>
              <w:rPr>
                <w:rFonts w:ascii="宋体" w:hAnsi="宋体"/>
                <w:color w:val="auto"/>
                <w:szCs w:val="21"/>
                <w:highlight w:val="none"/>
              </w:rPr>
            </w:pPr>
          </w:p>
        </w:tc>
        <w:tc>
          <w:tcPr>
            <w:tcW w:w="1919" w:type="dxa"/>
            <w:noWrap w:val="0"/>
            <w:vAlign w:val="center"/>
          </w:tcPr>
          <w:p>
            <w:pPr>
              <w:adjustRightInd w:val="0"/>
              <w:snapToGrid w:val="0"/>
              <w:spacing w:line="360" w:lineRule="auto"/>
              <w:jc w:val="center"/>
              <w:rPr>
                <w:rFonts w:ascii="宋体" w:hAnsi="宋体"/>
                <w:color w:val="auto"/>
                <w:szCs w:val="21"/>
                <w:highlight w:val="none"/>
              </w:rPr>
            </w:pPr>
          </w:p>
        </w:tc>
        <w:tc>
          <w:tcPr>
            <w:tcW w:w="1355" w:type="dxa"/>
            <w:noWrap w:val="0"/>
            <w:vAlign w:val="center"/>
          </w:tcPr>
          <w:p>
            <w:pPr>
              <w:adjustRightInd w:val="0"/>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noWrap w:val="0"/>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1491" w:type="dxa"/>
            <w:noWrap w:val="0"/>
            <w:vAlign w:val="center"/>
          </w:tcPr>
          <w:p>
            <w:pPr>
              <w:adjustRightInd w:val="0"/>
              <w:snapToGrid w:val="0"/>
              <w:spacing w:line="360" w:lineRule="auto"/>
              <w:jc w:val="center"/>
              <w:rPr>
                <w:rFonts w:ascii="宋体" w:hAnsi="宋体"/>
                <w:color w:val="auto"/>
                <w:szCs w:val="21"/>
                <w:highlight w:val="none"/>
              </w:rPr>
            </w:pPr>
          </w:p>
        </w:tc>
        <w:tc>
          <w:tcPr>
            <w:tcW w:w="1806" w:type="dxa"/>
            <w:noWrap w:val="0"/>
            <w:vAlign w:val="center"/>
          </w:tcPr>
          <w:p>
            <w:pPr>
              <w:adjustRightInd w:val="0"/>
              <w:snapToGrid w:val="0"/>
              <w:spacing w:line="360" w:lineRule="auto"/>
              <w:jc w:val="center"/>
              <w:rPr>
                <w:rFonts w:ascii="宋体" w:hAnsi="宋体"/>
                <w:color w:val="auto"/>
                <w:szCs w:val="21"/>
                <w:highlight w:val="none"/>
              </w:rPr>
            </w:pPr>
          </w:p>
        </w:tc>
        <w:tc>
          <w:tcPr>
            <w:tcW w:w="1001" w:type="dxa"/>
            <w:noWrap w:val="0"/>
            <w:vAlign w:val="center"/>
          </w:tcPr>
          <w:p>
            <w:pPr>
              <w:adjustRightInd w:val="0"/>
              <w:snapToGrid w:val="0"/>
              <w:spacing w:line="360" w:lineRule="auto"/>
              <w:jc w:val="center"/>
              <w:rPr>
                <w:rFonts w:ascii="宋体" w:hAnsi="宋体"/>
                <w:color w:val="auto"/>
                <w:szCs w:val="21"/>
                <w:highlight w:val="none"/>
              </w:rPr>
            </w:pPr>
          </w:p>
        </w:tc>
        <w:tc>
          <w:tcPr>
            <w:tcW w:w="1130" w:type="dxa"/>
            <w:noWrap w:val="0"/>
            <w:vAlign w:val="top"/>
          </w:tcPr>
          <w:p>
            <w:pPr>
              <w:adjustRightInd w:val="0"/>
              <w:snapToGrid w:val="0"/>
              <w:spacing w:line="360" w:lineRule="auto"/>
              <w:jc w:val="center"/>
              <w:rPr>
                <w:rFonts w:ascii="宋体" w:hAnsi="宋体"/>
                <w:color w:val="auto"/>
                <w:szCs w:val="21"/>
                <w:highlight w:val="none"/>
              </w:rPr>
            </w:pPr>
          </w:p>
        </w:tc>
        <w:tc>
          <w:tcPr>
            <w:tcW w:w="1919" w:type="dxa"/>
            <w:noWrap w:val="0"/>
            <w:vAlign w:val="center"/>
          </w:tcPr>
          <w:p>
            <w:pPr>
              <w:adjustRightInd w:val="0"/>
              <w:snapToGrid w:val="0"/>
              <w:spacing w:line="360" w:lineRule="auto"/>
              <w:jc w:val="center"/>
              <w:rPr>
                <w:rFonts w:ascii="宋体" w:hAnsi="宋体"/>
                <w:color w:val="auto"/>
                <w:szCs w:val="21"/>
                <w:highlight w:val="none"/>
              </w:rPr>
            </w:pPr>
          </w:p>
        </w:tc>
        <w:tc>
          <w:tcPr>
            <w:tcW w:w="1355" w:type="dxa"/>
            <w:noWrap w:val="0"/>
            <w:vAlign w:val="center"/>
          </w:tcPr>
          <w:p>
            <w:pPr>
              <w:adjustRightInd w:val="0"/>
              <w:snapToGrid w:val="0"/>
              <w:spacing w:line="360" w:lineRule="auto"/>
              <w:jc w:val="center"/>
              <w:rPr>
                <w:rFonts w:ascii="宋体" w:hAnsi="宋体"/>
                <w:color w:val="auto"/>
                <w:szCs w:val="21"/>
                <w:highlight w:val="none"/>
              </w:rPr>
            </w:pPr>
          </w:p>
        </w:tc>
      </w:tr>
    </w:tbl>
    <w:p>
      <w:pPr>
        <w:spacing w:line="360" w:lineRule="auto"/>
        <w:ind w:left="401" w:hanging="401" w:hangingChars="190"/>
        <w:rPr>
          <w:rFonts w:ascii="宋体" w:hAnsi="宋体"/>
          <w:b/>
          <w:color w:val="auto"/>
          <w:szCs w:val="21"/>
          <w:highlight w:val="none"/>
        </w:rPr>
      </w:pPr>
      <w:r>
        <w:rPr>
          <w:rFonts w:hint="eastAsia" w:ascii="宋体" w:hAnsi="宋体"/>
          <w:b/>
          <w:color w:val="auto"/>
          <w:szCs w:val="21"/>
          <w:highlight w:val="none"/>
        </w:rPr>
        <w:t>注：供应商应在此填写其他项目技术、管理等团队成员情况</w:t>
      </w:r>
    </w:p>
    <w:p>
      <w:pPr>
        <w:pStyle w:val="10"/>
        <w:ind w:firstLine="0"/>
        <w:rPr>
          <w:rFonts w:hint="eastAsia"/>
          <w:color w:val="auto"/>
          <w:highlight w:val="none"/>
        </w:rPr>
      </w:pPr>
      <w:bookmarkStart w:id="457" w:name="_Toc509392340"/>
      <w:bookmarkStart w:id="458" w:name="_Toc479158022"/>
      <w:bookmarkStart w:id="459" w:name="_Toc504694790"/>
      <w:bookmarkStart w:id="460" w:name="_Toc475522388"/>
      <w:bookmarkStart w:id="461" w:name="_Toc475463142"/>
      <w:bookmarkStart w:id="462" w:name="_Toc479157874"/>
      <w:bookmarkStart w:id="463" w:name="_Toc480898294"/>
    </w:p>
    <w:p>
      <w:pPr>
        <w:pStyle w:val="10"/>
        <w:ind w:firstLine="0"/>
        <w:rPr>
          <w:rFonts w:hint="eastAsia"/>
          <w:color w:val="auto"/>
          <w:highlight w:val="none"/>
        </w:rPr>
      </w:pPr>
    </w:p>
    <w:p>
      <w:pPr>
        <w:pStyle w:val="10"/>
        <w:ind w:firstLine="0"/>
        <w:rPr>
          <w:rFonts w:hint="eastAsia"/>
          <w:color w:val="auto"/>
          <w:highlight w:val="none"/>
        </w:rPr>
      </w:pPr>
    </w:p>
    <w:p>
      <w:pPr>
        <w:pStyle w:val="10"/>
        <w:ind w:firstLine="0"/>
        <w:rPr>
          <w:rFonts w:hint="eastAsia"/>
          <w:color w:val="auto"/>
          <w:highlight w:val="none"/>
        </w:rPr>
      </w:pPr>
    </w:p>
    <w:p>
      <w:pPr>
        <w:pStyle w:val="10"/>
        <w:ind w:firstLine="0"/>
        <w:rPr>
          <w:rFonts w:hint="eastAsia"/>
          <w:color w:val="auto"/>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pStyle w:val="10"/>
        <w:ind w:firstLine="0"/>
        <w:rPr>
          <w:rFonts w:hint="eastAsia"/>
          <w:color w:val="auto"/>
          <w:highlight w:val="none"/>
        </w:rPr>
        <w:sectPr>
          <w:pgSz w:w="11905" w:h="16838"/>
          <w:pgMar w:top="1417" w:right="1417" w:bottom="1417" w:left="1417" w:header="850" w:footer="850" w:gutter="0"/>
          <w:cols w:space="720" w:num="1"/>
          <w:docGrid w:linePitch="312" w:charSpace="0"/>
        </w:sectPr>
      </w:pPr>
    </w:p>
    <w:p>
      <w:pPr>
        <w:pStyle w:val="7"/>
        <w:keepLines w:val="0"/>
        <w:widowControl w:val="0"/>
        <w:tabs>
          <w:tab w:val="left" w:pos="851"/>
        </w:tabs>
        <w:adjustRightInd/>
        <w:snapToGrid/>
        <w:jc w:val="both"/>
        <w:rPr>
          <w:rFonts w:hAnsi="宋体"/>
          <w:b/>
          <w:color w:val="auto"/>
          <w:sz w:val="24"/>
          <w:szCs w:val="24"/>
          <w:highlight w:val="none"/>
        </w:rPr>
      </w:pPr>
      <w:bookmarkStart w:id="464" w:name="_Toc31060"/>
      <w:bookmarkStart w:id="465" w:name="_Toc2074441"/>
      <w:r>
        <w:rPr>
          <w:rFonts w:hint="eastAsia" w:hAnsi="宋体"/>
          <w:b/>
          <w:color w:val="auto"/>
          <w:sz w:val="24"/>
          <w:szCs w:val="24"/>
          <w:highlight w:val="none"/>
        </w:rPr>
        <w:t xml:space="preserve">9. </w:t>
      </w:r>
      <w:r>
        <w:rPr>
          <w:rFonts w:hAnsi="宋体"/>
          <w:b/>
          <w:color w:val="auto"/>
          <w:sz w:val="24"/>
          <w:szCs w:val="24"/>
          <w:highlight w:val="none"/>
        </w:rPr>
        <w:t>供应商认为有必要说明的其他资料</w:t>
      </w:r>
      <w:bookmarkEnd w:id="457"/>
      <w:bookmarkEnd w:id="458"/>
      <w:bookmarkEnd w:id="459"/>
      <w:bookmarkEnd w:id="460"/>
      <w:bookmarkEnd w:id="461"/>
      <w:bookmarkEnd w:id="462"/>
      <w:bookmarkEnd w:id="463"/>
      <w:bookmarkEnd w:id="464"/>
      <w:bookmarkEnd w:id="465"/>
    </w:p>
    <w:p>
      <w:pPr>
        <w:pStyle w:val="10"/>
        <w:spacing w:line="360" w:lineRule="auto"/>
        <w:rPr>
          <w:rFonts w:ascii="宋体" w:hAnsi="宋体"/>
          <w:color w:val="auto"/>
          <w:szCs w:val="21"/>
          <w:highlight w:val="none"/>
        </w:rPr>
      </w:pPr>
      <w:r>
        <w:rPr>
          <w:rFonts w:hint="eastAsia" w:ascii="宋体" w:hAnsi="宋体"/>
          <w:color w:val="auto"/>
          <w:szCs w:val="21"/>
          <w:highlight w:val="none"/>
        </w:rPr>
        <w:t>如有，请提供。</w:t>
      </w:r>
    </w:p>
    <w:p>
      <w:pPr>
        <w:pStyle w:val="10"/>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7"/>
        <w:keepLines w:val="0"/>
        <w:widowControl w:val="0"/>
        <w:tabs>
          <w:tab w:val="left" w:pos="851"/>
        </w:tabs>
        <w:adjustRightInd/>
        <w:snapToGrid/>
        <w:jc w:val="both"/>
        <w:rPr>
          <w:rFonts w:hAnsi="宋体"/>
          <w:b/>
          <w:color w:val="auto"/>
          <w:sz w:val="24"/>
          <w:szCs w:val="24"/>
          <w:highlight w:val="none"/>
        </w:rPr>
      </w:pPr>
      <w:r>
        <w:rPr>
          <w:rFonts w:hAnsi="宋体"/>
          <w:color w:val="auto"/>
          <w:sz w:val="21"/>
          <w:szCs w:val="21"/>
          <w:highlight w:val="none"/>
        </w:rPr>
        <w:br w:type="page"/>
      </w:r>
      <w:bookmarkStart w:id="466" w:name="_Toc479157880"/>
      <w:bookmarkStart w:id="467" w:name="_Toc2074444"/>
      <w:bookmarkStart w:id="468" w:name="_Toc480898300"/>
      <w:bookmarkStart w:id="469" w:name="_Toc479158028"/>
      <w:bookmarkStart w:id="470" w:name="_Toc509392344"/>
      <w:bookmarkStart w:id="471" w:name="_Toc5687"/>
      <w:r>
        <w:rPr>
          <w:rFonts w:hint="eastAsia" w:hAnsi="宋体"/>
          <w:b/>
          <w:color w:val="auto"/>
          <w:sz w:val="24"/>
          <w:szCs w:val="24"/>
          <w:highlight w:val="none"/>
        </w:rPr>
        <w:t>1</w:t>
      </w:r>
      <w:r>
        <w:rPr>
          <w:rFonts w:hint="eastAsia" w:hAnsi="宋体"/>
          <w:b/>
          <w:color w:val="auto"/>
          <w:sz w:val="24"/>
          <w:szCs w:val="24"/>
          <w:highlight w:val="none"/>
          <w:lang w:val="en-US" w:eastAsia="zh-CN"/>
        </w:rPr>
        <w:t>0</w:t>
      </w:r>
      <w:r>
        <w:rPr>
          <w:rFonts w:hint="eastAsia" w:hAnsi="宋体"/>
          <w:b/>
          <w:color w:val="auto"/>
          <w:sz w:val="24"/>
          <w:szCs w:val="24"/>
          <w:highlight w:val="none"/>
        </w:rPr>
        <w:t>.公平竞争承诺书</w:t>
      </w:r>
      <w:bookmarkEnd w:id="466"/>
      <w:bookmarkEnd w:id="467"/>
      <w:bookmarkEnd w:id="468"/>
      <w:bookmarkEnd w:id="469"/>
      <w:bookmarkEnd w:id="470"/>
      <w:bookmarkEnd w:id="471"/>
    </w:p>
    <w:p>
      <w:pPr>
        <w:spacing w:line="360" w:lineRule="auto"/>
        <w:jc w:val="center"/>
        <w:rPr>
          <w:rFonts w:hint="eastAsia" w:hAnsi="宋体"/>
          <w:b/>
          <w:color w:val="auto"/>
          <w:sz w:val="24"/>
          <w:szCs w:val="24"/>
          <w:highlight w:val="none"/>
        </w:rPr>
      </w:pPr>
    </w:p>
    <w:p>
      <w:pPr>
        <w:spacing w:line="360" w:lineRule="auto"/>
        <w:jc w:val="center"/>
        <w:rPr>
          <w:rFonts w:hint="eastAsia" w:hAnsi="宋体"/>
          <w:b/>
          <w:color w:val="auto"/>
          <w:sz w:val="24"/>
          <w:szCs w:val="24"/>
          <w:highlight w:val="none"/>
        </w:rPr>
      </w:pPr>
      <w:r>
        <w:rPr>
          <w:rFonts w:hint="eastAsia" w:hAnsi="宋体"/>
          <w:b/>
          <w:color w:val="auto"/>
          <w:sz w:val="24"/>
          <w:szCs w:val="24"/>
          <w:highlight w:val="none"/>
        </w:rPr>
        <w:t>公平竞争承诺书</w:t>
      </w:r>
    </w:p>
    <w:p>
      <w:pPr>
        <w:spacing w:line="360" w:lineRule="auto"/>
        <w:jc w:val="center"/>
        <w:rPr>
          <w:rFonts w:ascii="宋体" w:hAnsi="宋体" w:cs="宋体"/>
          <w:color w:val="auto"/>
          <w:szCs w:val="21"/>
          <w:highlight w:val="none"/>
        </w:rPr>
      </w:pP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本单位郑重承诺：本单位保证所提交的相关资质文件和证明材料的真实性，有良好的历史诚信记录，并将依法参与“”</w:t>
      </w:r>
      <w:r>
        <w:rPr>
          <w:rFonts w:hint="eastAsia" w:ascii="宋体" w:hAnsi="宋体"/>
          <w:color w:val="auto"/>
          <w:szCs w:val="21"/>
          <w:highlight w:val="none"/>
        </w:rPr>
        <w:t>（项目编号：）</w:t>
      </w:r>
      <w:r>
        <w:rPr>
          <w:rFonts w:hint="eastAsia" w:ascii="宋体" w:hAnsi="宋体" w:cs="宋体"/>
          <w:color w:val="auto"/>
          <w:szCs w:val="21"/>
          <w:highlight w:val="none"/>
        </w:rPr>
        <w:t>的公平竞争，不以任何不正当行为谋取不当利益，否则承担相应的法律责任。</w:t>
      </w:r>
    </w:p>
    <w:p>
      <w:pPr>
        <w:wordWrap w:val="0"/>
        <w:spacing w:line="360" w:lineRule="auto"/>
        <w:rPr>
          <w:rFonts w:ascii="宋体" w:hAnsi="宋体" w:cs="宋体"/>
          <w:color w:val="auto"/>
          <w:szCs w:val="21"/>
          <w:highlight w:val="none"/>
        </w:rPr>
      </w:pPr>
    </w:p>
    <w:p>
      <w:pPr>
        <w:wordWrap w:val="0"/>
        <w:spacing w:line="360" w:lineRule="auto"/>
        <w:rPr>
          <w:rFonts w:ascii="宋体" w:hAnsi="宋体" w:cs="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供应商名称（盖章）：</w:t>
      </w:r>
    </w:p>
    <w:p>
      <w:pPr>
        <w:spacing w:line="360" w:lineRule="auto"/>
        <w:rPr>
          <w:rFonts w:ascii="宋体" w:hAnsi="宋体"/>
          <w:color w:val="auto"/>
          <w:szCs w:val="21"/>
          <w:highlight w:val="none"/>
        </w:rPr>
      </w:pPr>
      <w:r>
        <w:rPr>
          <w:rFonts w:hint="eastAsia" w:ascii="宋体" w:hAnsi="宋体"/>
          <w:color w:val="auto"/>
          <w:szCs w:val="21"/>
          <w:highlight w:val="none"/>
        </w:rPr>
        <w:t>日期：   年   月   日</w:t>
      </w:r>
    </w:p>
    <w:p>
      <w:pPr>
        <w:tabs>
          <w:tab w:val="left" w:pos="720"/>
        </w:tabs>
        <w:spacing w:line="360" w:lineRule="auto"/>
        <w:rPr>
          <w:rFonts w:hint="eastAsia" w:ascii="宋体" w:hAnsi="宋体"/>
          <w:color w:val="auto"/>
          <w:szCs w:val="21"/>
          <w:highlight w:val="none"/>
        </w:rPr>
      </w:pPr>
    </w:p>
    <w:p>
      <w:pPr>
        <w:spacing w:after="120"/>
        <w:ind w:left="4253" w:leftChars="2025" w:firstLine="480"/>
        <w:jc w:val="right"/>
        <w:rPr>
          <w:rFonts w:ascii="宋体" w:hAnsi="宋体" w:cs="Arial"/>
          <w:color w:val="auto"/>
          <w:sz w:val="24"/>
          <w:szCs w:val="24"/>
          <w:highlight w:val="none"/>
        </w:rPr>
      </w:pPr>
    </w:p>
    <w:p>
      <w:pPr>
        <w:spacing w:after="120"/>
        <w:ind w:left="4253" w:leftChars="2025" w:firstLine="480"/>
        <w:jc w:val="right"/>
        <w:rPr>
          <w:rFonts w:ascii="宋体" w:hAnsi="宋体" w:cs="Arial"/>
          <w:color w:val="auto"/>
          <w:sz w:val="24"/>
          <w:szCs w:val="24"/>
          <w:highlight w:val="none"/>
        </w:rPr>
      </w:pPr>
    </w:p>
    <w:sectPr>
      <w:pgSz w:w="11905"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Neue">
    <w:altName w:val="Arial"/>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ind w:firstLine="360"/>
      <w:jc w:val="center"/>
      <w:rPr>
        <w:rFonts w:ascii="宋体" w:hAnsi="宋体"/>
      </w:rPr>
    </w:pPr>
    <w:r>
      <w:rPr>
        <w:lang w:val="zh-CN"/>
      </w:rPr>
      <w:t xml:space="preserve"> </w:t>
    </w:r>
    <w:r>
      <w:rPr>
        <w:rFonts w:ascii="宋体" w:hAnsi="宋体"/>
        <w:b/>
        <w:bCs/>
        <w:sz w:val="24"/>
        <w:szCs w:val="24"/>
      </w:rPr>
      <w:fldChar w:fldCharType="begin"/>
    </w:r>
    <w:r>
      <w:rPr>
        <w:rFonts w:ascii="宋体" w:hAnsi="宋体"/>
        <w:b/>
        <w:bCs/>
      </w:rPr>
      <w:instrText xml:space="preserve">PAGE</w:instrText>
    </w:r>
    <w:r>
      <w:rPr>
        <w:rFonts w:ascii="宋体" w:hAnsi="宋体"/>
        <w:b/>
        <w:bCs/>
        <w:sz w:val="24"/>
        <w:szCs w:val="24"/>
      </w:rPr>
      <w:fldChar w:fldCharType="separate"/>
    </w:r>
    <w:r>
      <w:rPr>
        <w:rFonts w:ascii="宋体" w:hAnsi="宋体"/>
        <w:b/>
        <w:bCs/>
      </w:rPr>
      <w:t>32</w:t>
    </w:r>
    <w:r>
      <w:rPr>
        <w:rFonts w:ascii="宋体" w:hAnsi="宋体"/>
        <w:b/>
        <w:bCs/>
        <w:sz w:val="24"/>
        <w:szCs w:val="24"/>
      </w:rPr>
      <w:fldChar w:fldCharType="end"/>
    </w:r>
    <w:r>
      <w:rPr>
        <w:rFonts w:ascii="宋体" w:hAnsi="宋体"/>
        <w:lang w:val="zh-CN"/>
      </w:rPr>
      <w:t xml:space="preserve"> </w:t>
    </w:r>
  </w:p>
  <w:p>
    <w:pPr>
      <w:pStyle w:val="32"/>
      <w:spacing w:after="120"/>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adjustRightInd w:val="0"/>
      <w:ind w:right="91"/>
      <w:jc w:val="left"/>
      <w:rPr>
        <w:rFonts w:hint="eastAsia" w:ascii="黑体" w:hAnsi="黑体" w:eastAsia="黑体"/>
      </w:rPr>
    </w:pPr>
    <w:r>
      <w:rPr>
        <w:rFonts w:hint="eastAsia" w:ascii="宋体" w:hAnsi="宋体"/>
      </w:rPr>
      <w:drawing>
        <wp:inline distT="0" distB="0" distL="114300" distR="114300">
          <wp:extent cx="1788160" cy="385445"/>
          <wp:effectExtent l="0" t="0" r="2540" b="14605"/>
          <wp:docPr id="1" name="图片 1" descr="公司logo+服务公正效率权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服务公正效率权威"/>
                  <pic:cNvPicPr>
                    <a:picLocks noChangeAspect="1"/>
                  </pic:cNvPicPr>
                </pic:nvPicPr>
                <pic:blipFill>
                  <a:blip r:embed="rId1"/>
                  <a:stretch>
                    <a:fillRect/>
                  </a:stretch>
                </pic:blipFill>
                <pic:spPr>
                  <a:xfrm>
                    <a:off x="0" y="0"/>
                    <a:ext cx="1788160" cy="385445"/>
                  </a:xfrm>
                  <a:prstGeom prst="rect">
                    <a:avLst/>
                  </a:prstGeom>
                  <a:noFill/>
                  <a:ln>
                    <a:noFill/>
                  </a:ln>
                </pic:spPr>
              </pic:pic>
            </a:graphicData>
          </a:graphic>
        </wp:inline>
      </w:drawing>
    </w:r>
    <w:r>
      <w:rPr>
        <w:rFonts w:hint="eastAsia" w:ascii="宋体" w:hAnsi="宋体"/>
      </w:rPr>
      <w:t xml:space="preserve">                                </w:t>
    </w:r>
    <w:r>
      <w:rPr>
        <w:rFonts w:hint="eastAsia" w:ascii="黑体" w:hAnsi="黑体" w:eastAsia="黑体"/>
      </w:rPr>
      <w:t>项目编号：</w:t>
    </w:r>
    <w:r>
      <w:rPr>
        <w:rFonts w:ascii="黑体" w:hAnsi="黑体" w:eastAsia="黑体"/>
      </w:rPr>
      <w:t xml:space="preserve"> M4400000707000337</w:t>
    </w:r>
    <w:r>
      <w:rPr>
        <w:rFonts w:hint="eastAsia" w:ascii="黑体" w:hAnsi="黑体" w:eastAsia="黑体"/>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D69B5"/>
    <w:multiLevelType w:val="singleLevel"/>
    <w:tmpl w:val="A70D69B5"/>
    <w:lvl w:ilvl="0" w:tentative="0">
      <w:start w:val="6"/>
      <w:numFmt w:val="chineseCounting"/>
      <w:suff w:val="space"/>
      <w:lvlText w:val="第%1章"/>
      <w:lvlJc w:val="left"/>
      <w:rPr>
        <w:rFonts w:hint="eastAsia"/>
      </w:rPr>
    </w:lvl>
  </w:abstractNum>
  <w:abstractNum w:abstractNumId="1">
    <w:nsid w:val="04D76481"/>
    <w:multiLevelType w:val="multilevel"/>
    <w:tmpl w:val="04D76481"/>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仿宋_GB2312" w:eastAsia="仿宋_GB2312" w:cs="Times New Roman"/>
        <w:sz w:val="24"/>
        <w:szCs w:val="24"/>
      </w:rPr>
    </w:lvl>
    <w:lvl w:ilvl="2" w:tentative="0">
      <w:start w:val="1"/>
      <w:numFmt w:val="decimal"/>
      <w:lvlText w:val="%3."/>
      <w:lvlJc w:val="left"/>
      <w:pPr>
        <w:ind w:left="1418" w:hanging="567"/>
      </w:pPr>
      <w:rPr>
        <w:rFonts w:hint="eastAsia" w:ascii="宋体" w:hAnsi="宋体" w:eastAsia="宋体" w:cs="Times New Roman"/>
        <w:color w:val="auto"/>
        <w:sz w:val="21"/>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
    <w:nsid w:val="08240B2E"/>
    <w:multiLevelType w:val="multilevel"/>
    <w:tmpl w:val="08240B2E"/>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3A70F57"/>
    <w:multiLevelType w:val="multilevel"/>
    <w:tmpl w:val="13A70F57"/>
    <w:lvl w:ilvl="0" w:tentative="0">
      <w:start w:val="1"/>
      <w:numFmt w:val="chineseCountingThousand"/>
      <w:lvlText w:val="%1、"/>
      <w:lvlJc w:val="left"/>
      <w:pPr>
        <w:ind w:left="425" w:hanging="425"/>
      </w:pPr>
      <w:rPr>
        <w:rFonts w:hint="eastAsia" w:cs="Times New Roman"/>
        <w:sz w:val="21"/>
        <w:szCs w:val="24"/>
      </w:rPr>
    </w:lvl>
    <w:lvl w:ilvl="1" w:tentative="0">
      <w:start w:val="1"/>
      <w:numFmt w:val="chineseCountingThousand"/>
      <w:lvlText w:val="（%2）"/>
      <w:lvlJc w:val="left"/>
      <w:pPr>
        <w:ind w:left="992" w:hanging="567"/>
      </w:pPr>
      <w:rPr>
        <w:rFonts w:hint="eastAsia" w:ascii="仿宋_GB2312" w:eastAsia="仿宋_GB2312" w:cs="Times New Roman"/>
        <w:sz w:val="24"/>
        <w:szCs w:val="24"/>
      </w:rPr>
    </w:lvl>
    <w:lvl w:ilvl="2" w:tentative="0">
      <w:start w:val="1"/>
      <w:numFmt w:val="decimal"/>
      <w:lvlText w:val="%3."/>
      <w:lvlJc w:val="left"/>
      <w:pPr>
        <w:ind w:left="1418" w:hanging="567"/>
      </w:pPr>
      <w:rPr>
        <w:rFonts w:hint="eastAsia" w:ascii="仿宋_GB2312" w:eastAsia="仿宋_GB2312" w:cs="Times New Roman"/>
        <w:color w:val="auto"/>
        <w:sz w:val="24"/>
        <w:szCs w:val="24"/>
      </w:rPr>
    </w:lvl>
    <w:lvl w:ilvl="3" w:tentative="0">
      <w:start w:val="1"/>
      <w:numFmt w:val="decimal"/>
      <w:lvlText w:val="(%4)"/>
      <w:lvlJc w:val="left"/>
      <w:pPr>
        <w:ind w:left="1418"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1C4A7602"/>
    <w:multiLevelType w:val="multilevel"/>
    <w:tmpl w:val="1C4A7602"/>
    <w:lvl w:ilvl="0" w:tentative="0">
      <w:start w:val="1"/>
      <w:numFmt w:val="chineseCountingThousand"/>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1D51749E"/>
    <w:multiLevelType w:val="multilevel"/>
    <w:tmpl w:val="1D51749E"/>
    <w:lvl w:ilvl="0" w:tentative="0">
      <w:start w:val="1"/>
      <w:numFmt w:val="chineseCountingThousand"/>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E246997"/>
    <w:multiLevelType w:val="multilevel"/>
    <w:tmpl w:val="2E246997"/>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仿宋_GB2312" w:eastAsia="仿宋_GB2312" w:cs="Times New Roman"/>
        <w:sz w:val="24"/>
        <w:szCs w:val="24"/>
      </w:rPr>
    </w:lvl>
    <w:lvl w:ilvl="2" w:tentative="0">
      <w:start w:val="1"/>
      <w:numFmt w:val="decimal"/>
      <w:lvlText w:val="%3."/>
      <w:lvlJc w:val="left"/>
      <w:pPr>
        <w:ind w:left="1418" w:hanging="567"/>
      </w:pPr>
      <w:rPr>
        <w:rFonts w:hint="eastAsia" w:ascii="宋体" w:hAnsi="宋体" w:eastAsia="宋体" w:cs="Times New Roman"/>
        <w:color w:val="auto"/>
        <w:sz w:val="24"/>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2F034439"/>
    <w:multiLevelType w:val="multilevel"/>
    <w:tmpl w:val="2F034439"/>
    <w:lvl w:ilvl="0" w:tentative="0">
      <w:start w:val="1"/>
      <w:numFmt w:val="chineseCountingThousand"/>
      <w:lvlText w:val="%1、"/>
      <w:lvlJc w:val="left"/>
      <w:pPr>
        <w:ind w:left="423" w:hanging="425"/>
      </w:pPr>
      <w:rPr>
        <w:rFonts w:hint="eastAsia" w:cs="Times New Roman"/>
        <w:sz w:val="21"/>
        <w:szCs w:val="24"/>
      </w:rPr>
    </w:lvl>
    <w:lvl w:ilvl="1" w:tentative="0">
      <w:start w:val="1"/>
      <w:numFmt w:val="chineseCountingThousand"/>
      <w:lvlText w:val="（%2）"/>
      <w:lvlJc w:val="left"/>
      <w:pPr>
        <w:ind w:left="3686" w:hanging="567"/>
      </w:pPr>
      <w:rPr>
        <w:rFonts w:hint="eastAsia" w:cs="Times New Roman"/>
        <w:sz w:val="21"/>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8">
    <w:nsid w:val="31B7653E"/>
    <w:multiLevelType w:val="multilevel"/>
    <w:tmpl w:val="31B7653E"/>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48645F4"/>
    <w:multiLevelType w:val="multilevel"/>
    <w:tmpl w:val="348645F4"/>
    <w:lvl w:ilvl="0" w:tentative="0">
      <w:start w:val="1"/>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4B96C45"/>
    <w:multiLevelType w:val="multilevel"/>
    <w:tmpl w:val="34B96C45"/>
    <w:lvl w:ilvl="0" w:tentative="0">
      <w:start w:val="1"/>
      <w:numFmt w:val="chineseCountingThousand"/>
      <w:lvlText w:val="（%1）"/>
      <w:lvlJc w:val="left"/>
      <w:pPr>
        <w:ind w:left="840"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4E163F7"/>
    <w:multiLevelType w:val="multilevel"/>
    <w:tmpl w:val="34E163F7"/>
    <w:lvl w:ilvl="0" w:tentative="0">
      <w:start w:val="1"/>
      <w:numFmt w:val="decimal"/>
      <w:lvlText w:val="（%1）"/>
      <w:lvlJc w:val="left"/>
      <w:pPr>
        <w:tabs>
          <w:tab w:val="left" w:pos="840"/>
        </w:tabs>
        <w:ind w:left="840" w:hanging="420"/>
      </w:pPr>
      <w:rPr>
        <w:rFonts w:hint="eastAsia"/>
        <w:b w:val="0"/>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5E38868"/>
    <w:multiLevelType w:val="singleLevel"/>
    <w:tmpl w:val="35E38868"/>
    <w:lvl w:ilvl="0" w:tentative="0">
      <w:start w:val="1"/>
      <w:numFmt w:val="decimal"/>
      <w:suff w:val="nothing"/>
      <w:lvlText w:val="（%1）"/>
      <w:lvlJc w:val="left"/>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48F6EDB"/>
    <w:multiLevelType w:val="multilevel"/>
    <w:tmpl w:val="448F6EDB"/>
    <w:lvl w:ilvl="0" w:tentative="0">
      <w:start w:val="1"/>
      <w:numFmt w:val="chineseCountingThousand"/>
      <w:lvlText w:val="（%1）"/>
      <w:lvlJc w:val="left"/>
      <w:pPr>
        <w:ind w:left="1048" w:hanging="420"/>
      </w:pPr>
      <w:rPr>
        <w:rFonts w:hint="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4FD527E"/>
    <w:multiLevelType w:val="multilevel"/>
    <w:tmpl w:val="44FD527E"/>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87" w:hanging="567"/>
      </w:pPr>
      <w:rPr>
        <w:rFonts w:hint="eastAsia" w:ascii="宋体" w:hAnsi="宋体" w:eastAsia="宋体" w:cs="Times New Roman"/>
        <w:sz w:val="21"/>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6">
    <w:nsid w:val="4C230CE6"/>
    <w:multiLevelType w:val="multilevel"/>
    <w:tmpl w:val="4C230CE6"/>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1844" w:hanging="567"/>
      </w:pPr>
      <w:rPr>
        <w:rFonts w:hint="eastAsia" w:ascii="宋体" w:hAnsi="宋体" w:eastAsia="宋体" w:cs="Times New Roman"/>
        <w:sz w:val="24"/>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7">
    <w:nsid w:val="516003D4"/>
    <w:multiLevelType w:val="multilevel"/>
    <w:tmpl w:val="516003D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0"/>
        </w:tabs>
        <w:ind w:left="0"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8">
    <w:nsid w:val="51706E86"/>
    <w:multiLevelType w:val="multilevel"/>
    <w:tmpl w:val="51706E86"/>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仿宋_GB2312" w:eastAsia="仿宋_GB2312" w:cs="Times New Roman"/>
        <w:sz w:val="24"/>
        <w:szCs w:val="24"/>
      </w:rPr>
    </w:lvl>
    <w:lvl w:ilvl="2" w:tentative="0">
      <w:start w:val="1"/>
      <w:numFmt w:val="decimal"/>
      <w:lvlText w:val="%3."/>
      <w:lvlJc w:val="left"/>
      <w:pPr>
        <w:ind w:left="1418" w:hanging="567"/>
      </w:pPr>
      <w:rPr>
        <w:rFonts w:hint="eastAsia" w:ascii="宋体" w:hAnsi="宋体" w:eastAsia="宋体" w:cs="Times New Roman"/>
        <w:color w:val="auto"/>
        <w:sz w:val="21"/>
        <w:szCs w:val="24"/>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9">
    <w:nsid w:val="575D2D94"/>
    <w:multiLevelType w:val="multilevel"/>
    <w:tmpl w:val="575D2D94"/>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1844" w:hanging="567"/>
      </w:pPr>
      <w:rPr>
        <w:rFonts w:hint="eastAsia" w:ascii="宋体" w:hAnsi="宋体" w:eastAsia="宋体" w:cs="Times New Roman"/>
        <w:sz w:val="24"/>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0">
    <w:nsid w:val="575D2E5B"/>
    <w:multiLevelType w:val="multilevel"/>
    <w:tmpl w:val="575D2E5B"/>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D174DC5"/>
    <w:multiLevelType w:val="multilevel"/>
    <w:tmpl w:val="6D174DC5"/>
    <w:lvl w:ilvl="0" w:tentative="0">
      <w:start w:val="1"/>
      <w:numFmt w:val="chineseCountingThousand"/>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2">
    <w:nsid w:val="7AE665F0"/>
    <w:multiLevelType w:val="singleLevel"/>
    <w:tmpl w:val="7AE665F0"/>
    <w:lvl w:ilvl="0" w:tentative="0">
      <w:start w:val="1"/>
      <w:numFmt w:val="decimal"/>
      <w:lvlText w:val="%1."/>
      <w:lvlJc w:val="left"/>
      <w:pPr>
        <w:tabs>
          <w:tab w:val="left" w:pos="312"/>
        </w:tabs>
      </w:pPr>
    </w:lvl>
  </w:abstractNum>
  <w:abstractNum w:abstractNumId="23">
    <w:nsid w:val="7F96484D"/>
    <w:multiLevelType w:val="singleLevel"/>
    <w:tmpl w:val="7F96484D"/>
    <w:lvl w:ilvl="0" w:tentative="0">
      <w:start w:val="3"/>
      <w:numFmt w:val="chineseCounting"/>
      <w:suff w:val="space"/>
      <w:lvlText w:val="第%1章"/>
      <w:lvlJc w:val="left"/>
      <w:rPr>
        <w:rFonts w:hint="eastAsia"/>
      </w:rPr>
    </w:lvl>
  </w:abstractNum>
  <w:num w:numId="1">
    <w:abstractNumId w:val="13"/>
  </w:num>
  <w:num w:numId="2">
    <w:abstractNumId w:val="7"/>
  </w:num>
  <w:num w:numId="3">
    <w:abstractNumId w:val="10"/>
  </w:num>
  <w:num w:numId="4">
    <w:abstractNumId w:val="14"/>
  </w:num>
  <w:num w:numId="5">
    <w:abstractNumId w:val="5"/>
  </w:num>
  <w:num w:numId="6">
    <w:abstractNumId w:val="23"/>
  </w:num>
  <w:num w:numId="7">
    <w:abstractNumId w:val="17"/>
  </w:num>
  <w:num w:numId="8">
    <w:abstractNumId w:val="3"/>
  </w:num>
  <w:num w:numId="9">
    <w:abstractNumId w:val="16"/>
  </w:num>
  <w:num w:numId="10">
    <w:abstractNumId w:val="19"/>
  </w:num>
  <w:num w:numId="11">
    <w:abstractNumId w:val="15"/>
  </w:num>
  <w:num w:numId="12">
    <w:abstractNumId w:val="8"/>
  </w:num>
  <w:num w:numId="13">
    <w:abstractNumId w:val="20"/>
  </w:num>
  <w:num w:numId="14">
    <w:abstractNumId w:val="2"/>
  </w:num>
  <w:num w:numId="15">
    <w:abstractNumId w:val="9"/>
  </w:num>
  <w:num w:numId="16">
    <w:abstractNumId w:val="11"/>
  </w:num>
  <w:num w:numId="17">
    <w:abstractNumId w:val="1"/>
  </w:num>
  <w:num w:numId="18">
    <w:abstractNumId w:val="18"/>
  </w:num>
  <w:num w:numId="19">
    <w:abstractNumId w:val="4"/>
  </w:num>
  <w:num w:numId="20">
    <w:abstractNumId w:val="6"/>
  </w:num>
  <w:num w:numId="21">
    <w:abstractNumId w:val="21"/>
  </w:num>
  <w:num w:numId="22">
    <w:abstractNumId w:val="0"/>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1o¡À¨¤o?" w:val="GGPC-[2014]207"/>
    <w:docVar w:name="commondata" w:val="eyJoZGlkIjoiMWMyYzYwOTA4ZTA2NjI5MDUxZGUyZDQxNzMyOWZlYjUifQ=="/>
  </w:docVars>
  <w:rsids>
    <w:rsidRoot w:val="00172A27"/>
    <w:rsid w:val="000008F2"/>
    <w:rsid w:val="000009ED"/>
    <w:rsid w:val="00000F3D"/>
    <w:rsid w:val="00001029"/>
    <w:rsid w:val="00001350"/>
    <w:rsid w:val="000017B6"/>
    <w:rsid w:val="000019D5"/>
    <w:rsid w:val="0000420B"/>
    <w:rsid w:val="00005330"/>
    <w:rsid w:val="000057FE"/>
    <w:rsid w:val="00005F10"/>
    <w:rsid w:val="00006246"/>
    <w:rsid w:val="00006636"/>
    <w:rsid w:val="00007641"/>
    <w:rsid w:val="00007F8F"/>
    <w:rsid w:val="00011501"/>
    <w:rsid w:val="000124CE"/>
    <w:rsid w:val="000139BD"/>
    <w:rsid w:val="0001480B"/>
    <w:rsid w:val="000148E4"/>
    <w:rsid w:val="00015DB8"/>
    <w:rsid w:val="00015F8B"/>
    <w:rsid w:val="00017105"/>
    <w:rsid w:val="00017678"/>
    <w:rsid w:val="00017B12"/>
    <w:rsid w:val="0002097E"/>
    <w:rsid w:val="00020E18"/>
    <w:rsid w:val="00021E01"/>
    <w:rsid w:val="00022369"/>
    <w:rsid w:val="00022685"/>
    <w:rsid w:val="000235B5"/>
    <w:rsid w:val="0002382C"/>
    <w:rsid w:val="0002465C"/>
    <w:rsid w:val="00024BE9"/>
    <w:rsid w:val="00025F76"/>
    <w:rsid w:val="00026B48"/>
    <w:rsid w:val="000278E7"/>
    <w:rsid w:val="00031B7C"/>
    <w:rsid w:val="00031C03"/>
    <w:rsid w:val="0003285F"/>
    <w:rsid w:val="0003365C"/>
    <w:rsid w:val="00033DEC"/>
    <w:rsid w:val="00036447"/>
    <w:rsid w:val="00036A36"/>
    <w:rsid w:val="00037B99"/>
    <w:rsid w:val="00037BB4"/>
    <w:rsid w:val="00037FEE"/>
    <w:rsid w:val="00040BCC"/>
    <w:rsid w:val="00041BBF"/>
    <w:rsid w:val="000438CB"/>
    <w:rsid w:val="00043D46"/>
    <w:rsid w:val="00044997"/>
    <w:rsid w:val="00044FAB"/>
    <w:rsid w:val="00045EBD"/>
    <w:rsid w:val="00046BE0"/>
    <w:rsid w:val="00046EC9"/>
    <w:rsid w:val="00047711"/>
    <w:rsid w:val="0004798D"/>
    <w:rsid w:val="00047AF4"/>
    <w:rsid w:val="00047B92"/>
    <w:rsid w:val="000502BA"/>
    <w:rsid w:val="0005127C"/>
    <w:rsid w:val="000516E5"/>
    <w:rsid w:val="000523FB"/>
    <w:rsid w:val="000542B1"/>
    <w:rsid w:val="0005492A"/>
    <w:rsid w:val="0005697C"/>
    <w:rsid w:val="00056B3D"/>
    <w:rsid w:val="00056E5E"/>
    <w:rsid w:val="00057BE4"/>
    <w:rsid w:val="00062530"/>
    <w:rsid w:val="00062783"/>
    <w:rsid w:val="00062F1C"/>
    <w:rsid w:val="0006578F"/>
    <w:rsid w:val="00065D46"/>
    <w:rsid w:val="00065E5D"/>
    <w:rsid w:val="00067A32"/>
    <w:rsid w:val="00070948"/>
    <w:rsid w:val="00070C2C"/>
    <w:rsid w:val="0007151A"/>
    <w:rsid w:val="00072260"/>
    <w:rsid w:val="0007298A"/>
    <w:rsid w:val="00073753"/>
    <w:rsid w:val="0007448D"/>
    <w:rsid w:val="00075389"/>
    <w:rsid w:val="0007557F"/>
    <w:rsid w:val="000761A8"/>
    <w:rsid w:val="000772CB"/>
    <w:rsid w:val="000779EE"/>
    <w:rsid w:val="00077DB0"/>
    <w:rsid w:val="00077E85"/>
    <w:rsid w:val="000801A1"/>
    <w:rsid w:val="00080597"/>
    <w:rsid w:val="00080D05"/>
    <w:rsid w:val="00081271"/>
    <w:rsid w:val="00082945"/>
    <w:rsid w:val="000839E4"/>
    <w:rsid w:val="00083B76"/>
    <w:rsid w:val="00084B82"/>
    <w:rsid w:val="00085C9E"/>
    <w:rsid w:val="00086B9E"/>
    <w:rsid w:val="00086DCC"/>
    <w:rsid w:val="000873F7"/>
    <w:rsid w:val="00087F5D"/>
    <w:rsid w:val="000915AA"/>
    <w:rsid w:val="00091606"/>
    <w:rsid w:val="0009188B"/>
    <w:rsid w:val="000921A9"/>
    <w:rsid w:val="00092289"/>
    <w:rsid w:val="00094328"/>
    <w:rsid w:val="0009435D"/>
    <w:rsid w:val="00094D26"/>
    <w:rsid w:val="00094F64"/>
    <w:rsid w:val="000952B6"/>
    <w:rsid w:val="0009549E"/>
    <w:rsid w:val="000969AB"/>
    <w:rsid w:val="00096A40"/>
    <w:rsid w:val="00096C67"/>
    <w:rsid w:val="000A0001"/>
    <w:rsid w:val="000A14D8"/>
    <w:rsid w:val="000A1681"/>
    <w:rsid w:val="000A4B8F"/>
    <w:rsid w:val="000A75B5"/>
    <w:rsid w:val="000A79C4"/>
    <w:rsid w:val="000A7B3F"/>
    <w:rsid w:val="000B0AA3"/>
    <w:rsid w:val="000B11F0"/>
    <w:rsid w:val="000B14F3"/>
    <w:rsid w:val="000B152B"/>
    <w:rsid w:val="000B16A3"/>
    <w:rsid w:val="000B1860"/>
    <w:rsid w:val="000B1E37"/>
    <w:rsid w:val="000B27EA"/>
    <w:rsid w:val="000B44C0"/>
    <w:rsid w:val="000B4BAD"/>
    <w:rsid w:val="000B6ED9"/>
    <w:rsid w:val="000C0C11"/>
    <w:rsid w:val="000C14F5"/>
    <w:rsid w:val="000C17D3"/>
    <w:rsid w:val="000C29B0"/>
    <w:rsid w:val="000C3EB7"/>
    <w:rsid w:val="000C4412"/>
    <w:rsid w:val="000C4889"/>
    <w:rsid w:val="000C70E6"/>
    <w:rsid w:val="000C79E7"/>
    <w:rsid w:val="000C7EAE"/>
    <w:rsid w:val="000D0284"/>
    <w:rsid w:val="000D135E"/>
    <w:rsid w:val="000D2C05"/>
    <w:rsid w:val="000D3641"/>
    <w:rsid w:val="000D3A65"/>
    <w:rsid w:val="000D3AA0"/>
    <w:rsid w:val="000D424A"/>
    <w:rsid w:val="000D481D"/>
    <w:rsid w:val="000D6473"/>
    <w:rsid w:val="000D7022"/>
    <w:rsid w:val="000E19DB"/>
    <w:rsid w:val="000E1AA1"/>
    <w:rsid w:val="000E4058"/>
    <w:rsid w:val="000E5A11"/>
    <w:rsid w:val="000E5AEC"/>
    <w:rsid w:val="000E5DB6"/>
    <w:rsid w:val="000E65BF"/>
    <w:rsid w:val="000E7B65"/>
    <w:rsid w:val="000F0476"/>
    <w:rsid w:val="000F0EC7"/>
    <w:rsid w:val="000F1282"/>
    <w:rsid w:val="000F131F"/>
    <w:rsid w:val="000F2B8D"/>
    <w:rsid w:val="000F2B93"/>
    <w:rsid w:val="000F673C"/>
    <w:rsid w:val="000F775D"/>
    <w:rsid w:val="00100418"/>
    <w:rsid w:val="00100D34"/>
    <w:rsid w:val="00101027"/>
    <w:rsid w:val="00101E21"/>
    <w:rsid w:val="001022C2"/>
    <w:rsid w:val="00103D8C"/>
    <w:rsid w:val="00103EFA"/>
    <w:rsid w:val="00104D1C"/>
    <w:rsid w:val="0010536D"/>
    <w:rsid w:val="00106FB0"/>
    <w:rsid w:val="00106FDD"/>
    <w:rsid w:val="00107A5D"/>
    <w:rsid w:val="00107EC4"/>
    <w:rsid w:val="00110325"/>
    <w:rsid w:val="00111922"/>
    <w:rsid w:val="00111B3D"/>
    <w:rsid w:val="00111DB1"/>
    <w:rsid w:val="00111E10"/>
    <w:rsid w:val="00112539"/>
    <w:rsid w:val="00112844"/>
    <w:rsid w:val="00113267"/>
    <w:rsid w:val="00114642"/>
    <w:rsid w:val="0011476F"/>
    <w:rsid w:val="00115082"/>
    <w:rsid w:val="0011579C"/>
    <w:rsid w:val="00116774"/>
    <w:rsid w:val="00117086"/>
    <w:rsid w:val="0011721E"/>
    <w:rsid w:val="001172C0"/>
    <w:rsid w:val="00117FC5"/>
    <w:rsid w:val="001207EC"/>
    <w:rsid w:val="00120934"/>
    <w:rsid w:val="00120DBD"/>
    <w:rsid w:val="00121450"/>
    <w:rsid w:val="00121F9F"/>
    <w:rsid w:val="00122858"/>
    <w:rsid w:val="00123B16"/>
    <w:rsid w:val="00123C72"/>
    <w:rsid w:val="0012505B"/>
    <w:rsid w:val="00125262"/>
    <w:rsid w:val="00125E0A"/>
    <w:rsid w:val="00125FF4"/>
    <w:rsid w:val="00127BD4"/>
    <w:rsid w:val="00127E37"/>
    <w:rsid w:val="00130A2A"/>
    <w:rsid w:val="0013138A"/>
    <w:rsid w:val="0013196C"/>
    <w:rsid w:val="00132654"/>
    <w:rsid w:val="00132744"/>
    <w:rsid w:val="0013458B"/>
    <w:rsid w:val="001347E0"/>
    <w:rsid w:val="00134FA6"/>
    <w:rsid w:val="0013558C"/>
    <w:rsid w:val="00135BF9"/>
    <w:rsid w:val="001371C3"/>
    <w:rsid w:val="0013794E"/>
    <w:rsid w:val="00140571"/>
    <w:rsid w:val="0014127F"/>
    <w:rsid w:val="001429A1"/>
    <w:rsid w:val="00142F08"/>
    <w:rsid w:val="001434C0"/>
    <w:rsid w:val="001445C5"/>
    <w:rsid w:val="00144D63"/>
    <w:rsid w:val="00144E70"/>
    <w:rsid w:val="00146367"/>
    <w:rsid w:val="00146B21"/>
    <w:rsid w:val="00150166"/>
    <w:rsid w:val="001502D7"/>
    <w:rsid w:val="00150875"/>
    <w:rsid w:val="0015135F"/>
    <w:rsid w:val="001516E5"/>
    <w:rsid w:val="00151752"/>
    <w:rsid w:val="001518BA"/>
    <w:rsid w:val="00152370"/>
    <w:rsid w:val="00152551"/>
    <w:rsid w:val="0015364C"/>
    <w:rsid w:val="00154109"/>
    <w:rsid w:val="001546A3"/>
    <w:rsid w:val="001555E2"/>
    <w:rsid w:val="001560D1"/>
    <w:rsid w:val="00156B48"/>
    <w:rsid w:val="001571FF"/>
    <w:rsid w:val="0016047C"/>
    <w:rsid w:val="001621CA"/>
    <w:rsid w:val="00162625"/>
    <w:rsid w:val="00162881"/>
    <w:rsid w:val="001646AC"/>
    <w:rsid w:val="0016478A"/>
    <w:rsid w:val="00164B2D"/>
    <w:rsid w:val="0016562B"/>
    <w:rsid w:val="00165A77"/>
    <w:rsid w:val="00166567"/>
    <w:rsid w:val="00167282"/>
    <w:rsid w:val="0016731D"/>
    <w:rsid w:val="0017009C"/>
    <w:rsid w:val="00170FF6"/>
    <w:rsid w:val="00172207"/>
    <w:rsid w:val="001734F9"/>
    <w:rsid w:val="001735C6"/>
    <w:rsid w:val="001750F4"/>
    <w:rsid w:val="00176679"/>
    <w:rsid w:val="001771A7"/>
    <w:rsid w:val="0018088D"/>
    <w:rsid w:val="00181A0B"/>
    <w:rsid w:val="00183C49"/>
    <w:rsid w:val="001845A2"/>
    <w:rsid w:val="00184C92"/>
    <w:rsid w:val="001852F4"/>
    <w:rsid w:val="001877FD"/>
    <w:rsid w:val="0019041A"/>
    <w:rsid w:val="001907FE"/>
    <w:rsid w:val="001912A1"/>
    <w:rsid w:val="00191533"/>
    <w:rsid w:val="00191F94"/>
    <w:rsid w:val="001925AF"/>
    <w:rsid w:val="0019418C"/>
    <w:rsid w:val="00194346"/>
    <w:rsid w:val="0019443C"/>
    <w:rsid w:val="00195386"/>
    <w:rsid w:val="00195978"/>
    <w:rsid w:val="00196424"/>
    <w:rsid w:val="00196678"/>
    <w:rsid w:val="001969D0"/>
    <w:rsid w:val="0019716D"/>
    <w:rsid w:val="001976E5"/>
    <w:rsid w:val="001A0837"/>
    <w:rsid w:val="001A0A40"/>
    <w:rsid w:val="001A18BD"/>
    <w:rsid w:val="001A21D5"/>
    <w:rsid w:val="001A2306"/>
    <w:rsid w:val="001A242E"/>
    <w:rsid w:val="001A29AA"/>
    <w:rsid w:val="001A38F4"/>
    <w:rsid w:val="001A3DA4"/>
    <w:rsid w:val="001A3E73"/>
    <w:rsid w:val="001A5430"/>
    <w:rsid w:val="001A5835"/>
    <w:rsid w:val="001B0178"/>
    <w:rsid w:val="001B0BE1"/>
    <w:rsid w:val="001B12C2"/>
    <w:rsid w:val="001B1731"/>
    <w:rsid w:val="001B1A6D"/>
    <w:rsid w:val="001B2271"/>
    <w:rsid w:val="001B227F"/>
    <w:rsid w:val="001B33E3"/>
    <w:rsid w:val="001B34C2"/>
    <w:rsid w:val="001B47CC"/>
    <w:rsid w:val="001B4FB7"/>
    <w:rsid w:val="001B6928"/>
    <w:rsid w:val="001B6BEE"/>
    <w:rsid w:val="001B7DD1"/>
    <w:rsid w:val="001C0429"/>
    <w:rsid w:val="001C0F15"/>
    <w:rsid w:val="001C0F66"/>
    <w:rsid w:val="001C21CA"/>
    <w:rsid w:val="001C2515"/>
    <w:rsid w:val="001C2FFF"/>
    <w:rsid w:val="001C4183"/>
    <w:rsid w:val="001C438A"/>
    <w:rsid w:val="001C43BD"/>
    <w:rsid w:val="001C4D6D"/>
    <w:rsid w:val="001C5988"/>
    <w:rsid w:val="001C765A"/>
    <w:rsid w:val="001C7B52"/>
    <w:rsid w:val="001D013E"/>
    <w:rsid w:val="001D0A61"/>
    <w:rsid w:val="001D0F88"/>
    <w:rsid w:val="001D10F5"/>
    <w:rsid w:val="001D1630"/>
    <w:rsid w:val="001D1C58"/>
    <w:rsid w:val="001D351C"/>
    <w:rsid w:val="001D3ECC"/>
    <w:rsid w:val="001D4B3D"/>
    <w:rsid w:val="001D6E18"/>
    <w:rsid w:val="001D7AA2"/>
    <w:rsid w:val="001E0E1C"/>
    <w:rsid w:val="001E178B"/>
    <w:rsid w:val="001E2BDF"/>
    <w:rsid w:val="001E4C58"/>
    <w:rsid w:val="001E5372"/>
    <w:rsid w:val="001E56FA"/>
    <w:rsid w:val="001E588B"/>
    <w:rsid w:val="001E684D"/>
    <w:rsid w:val="001E75E7"/>
    <w:rsid w:val="001E7D28"/>
    <w:rsid w:val="001F07B3"/>
    <w:rsid w:val="001F0A94"/>
    <w:rsid w:val="001F1882"/>
    <w:rsid w:val="001F1BCC"/>
    <w:rsid w:val="001F1F86"/>
    <w:rsid w:val="001F2745"/>
    <w:rsid w:val="001F29B5"/>
    <w:rsid w:val="001F2ABB"/>
    <w:rsid w:val="001F488C"/>
    <w:rsid w:val="001F4D25"/>
    <w:rsid w:val="001F5939"/>
    <w:rsid w:val="001F7759"/>
    <w:rsid w:val="00200663"/>
    <w:rsid w:val="00201938"/>
    <w:rsid w:val="002039F4"/>
    <w:rsid w:val="002059AC"/>
    <w:rsid w:val="002067C5"/>
    <w:rsid w:val="00206A90"/>
    <w:rsid w:val="00207262"/>
    <w:rsid w:val="002108E7"/>
    <w:rsid w:val="00212230"/>
    <w:rsid w:val="00212E9C"/>
    <w:rsid w:val="002132E2"/>
    <w:rsid w:val="00214910"/>
    <w:rsid w:val="00214C92"/>
    <w:rsid w:val="002154F6"/>
    <w:rsid w:val="002157B2"/>
    <w:rsid w:val="00215AF4"/>
    <w:rsid w:val="00215E71"/>
    <w:rsid w:val="00217D6A"/>
    <w:rsid w:val="00220819"/>
    <w:rsid w:val="00222E0E"/>
    <w:rsid w:val="0022377E"/>
    <w:rsid w:val="00223B8B"/>
    <w:rsid w:val="0022420F"/>
    <w:rsid w:val="00224285"/>
    <w:rsid w:val="00224689"/>
    <w:rsid w:val="002246CA"/>
    <w:rsid w:val="00224915"/>
    <w:rsid w:val="002258C4"/>
    <w:rsid w:val="00225CDC"/>
    <w:rsid w:val="00225DAD"/>
    <w:rsid w:val="002261F6"/>
    <w:rsid w:val="002265AD"/>
    <w:rsid w:val="0022713E"/>
    <w:rsid w:val="00227B84"/>
    <w:rsid w:val="00231ACF"/>
    <w:rsid w:val="002329F4"/>
    <w:rsid w:val="00232CAE"/>
    <w:rsid w:val="00233C02"/>
    <w:rsid w:val="00233FD4"/>
    <w:rsid w:val="0023421F"/>
    <w:rsid w:val="00235833"/>
    <w:rsid w:val="00235E31"/>
    <w:rsid w:val="00236278"/>
    <w:rsid w:val="002369DC"/>
    <w:rsid w:val="00236FA6"/>
    <w:rsid w:val="002378FD"/>
    <w:rsid w:val="002415EF"/>
    <w:rsid w:val="002445CD"/>
    <w:rsid w:val="002448CA"/>
    <w:rsid w:val="002453EF"/>
    <w:rsid w:val="0024581A"/>
    <w:rsid w:val="00246798"/>
    <w:rsid w:val="002467A9"/>
    <w:rsid w:val="00246ADB"/>
    <w:rsid w:val="00250011"/>
    <w:rsid w:val="00250045"/>
    <w:rsid w:val="00250608"/>
    <w:rsid w:val="002529E3"/>
    <w:rsid w:val="00252E06"/>
    <w:rsid w:val="0025367D"/>
    <w:rsid w:val="00253A9D"/>
    <w:rsid w:val="00254976"/>
    <w:rsid w:val="00256458"/>
    <w:rsid w:val="002567A5"/>
    <w:rsid w:val="00256D3A"/>
    <w:rsid w:val="00256F99"/>
    <w:rsid w:val="00257241"/>
    <w:rsid w:val="00260862"/>
    <w:rsid w:val="00260D07"/>
    <w:rsid w:val="0026109F"/>
    <w:rsid w:val="00262257"/>
    <w:rsid w:val="0026350B"/>
    <w:rsid w:val="002636B6"/>
    <w:rsid w:val="002641AE"/>
    <w:rsid w:val="002644EB"/>
    <w:rsid w:val="002644F0"/>
    <w:rsid w:val="00266E51"/>
    <w:rsid w:val="00267510"/>
    <w:rsid w:val="0027194B"/>
    <w:rsid w:val="002749D0"/>
    <w:rsid w:val="00274BCE"/>
    <w:rsid w:val="00275761"/>
    <w:rsid w:val="00276360"/>
    <w:rsid w:val="00276765"/>
    <w:rsid w:val="0027680E"/>
    <w:rsid w:val="00277A00"/>
    <w:rsid w:val="00277CDC"/>
    <w:rsid w:val="00281410"/>
    <w:rsid w:val="00281929"/>
    <w:rsid w:val="00281FD7"/>
    <w:rsid w:val="00282029"/>
    <w:rsid w:val="002826F6"/>
    <w:rsid w:val="00282981"/>
    <w:rsid w:val="00282E4A"/>
    <w:rsid w:val="00283A95"/>
    <w:rsid w:val="00284228"/>
    <w:rsid w:val="0028463F"/>
    <w:rsid w:val="002846D3"/>
    <w:rsid w:val="002846F1"/>
    <w:rsid w:val="00284C7F"/>
    <w:rsid w:val="00285284"/>
    <w:rsid w:val="00285CB8"/>
    <w:rsid w:val="00285F7E"/>
    <w:rsid w:val="002872D8"/>
    <w:rsid w:val="0028765A"/>
    <w:rsid w:val="002877B4"/>
    <w:rsid w:val="00287984"/>
    <w:rsid w:val="00287CE0"/>
    <w:rsid w:val="002900F7"/>
    <w:rsid w:val="0029207A"/>
    <w:rsid w:val="00293376"/>
    <w:rsid w:val="002933F7"/>
    <w:rsid w:val="00294143"/>
    <w:rsid w:val="00294564"/>
    <w:rsid w:val="00294ABE"/>
    <w:rsid w:val="00294F47"/>
    <w:rsid w:val="00295518"/>
    <w:rsid w:val="00297244"/>
    <w:rsid w:val="002974E0"/>
    <w:rsid w:val="00297830"/>
    <w:rsid w:val="00297CE9"/>
    <w:rsid w:val="002A0104"/>
    <w:rsid w:val="002A012E"/>
    <w:rsid w:val="002A07A1"/>
    <w:rsid w:val="002A084F"/>
    <w:rsid w:val="002A225F"/>
    <w:rsid w:val="002A38CB"/>
    <w:rsid w:val="002A3D87"/>
    <w:rsid w:val="002A4A40"/>
    <w:rsid w:val="002A6164"/>
    <w:rsid w:val="002A6DAC"/>
    <w:rsid w:val="002A72CF"/>
    <w:rsid w:val="002B1184"/>
    <w:rsid w:val="002B1C04"/>
    <w:rsid w:val="002B1CBE"/>
    <w:rsid w:val="002B2321"/>
    <w:rsid w:val="002B26DC"/>
    <w:rsid w:val="002B2E58"/>
    <w:rsid w:val="002B34B5"/>
    <w:rsid w:val="002B5272"/>
    <w:rsid w:val="002B6318"/>
    <w:rsid w:val="002B6B72"/>
    <w:rsid w:val="002B7EB3"/>
    <w:rsid w:val="002C0945"/>
    <w:rsid w:val="002C13F0"/>
    <w:rsid w:val="002C13F3"/>
    <w:rsid w:val="002C17B3"/>
    <w:rsid w:val="002C1BD4"/>
    <w:rsid w:val="002C1CD3"/>
    <w:rsid w:val="002C1DB2"/>
    <w:rsid w:val="002C242B"/>
    <w:rsid w:val="002C3543"/>
    <w:rsid w:val="002C3683"/>
    <w:rsid w:val="002C597D"/>
    <w:rsid w:val="002C610B"/>
    <w:rsid w:val="002C6C09"/>
    <w:rsid w:val="002C7F36"/>
    <w:rsid w:val="002D2428"/>
    <w:rsid w:val="002D2D53"/>
    <w:rsid w:val="002D317A"/>
    <w:rsid w:val="002D3201"/>
    <w:rsid w:val="002D3AAE"/>
    <w:rsid w:val="002D44EA"/>
    <w:rsid w:val="002D48DA"/>
    <w:rsid w:val="002D5A80"/>
    <w:rsid w:val="002D70D3"/>
    <w:rsid w:val="002E06FA"/>
    <w:rsid w:val="002E0D34"/>
    <w:rsid w:val="002E1B09"/>
    <w:rsid w:val="002E2D14"/>
    <w:rsid w:val="002E3720"/>
    <w:rsid w:val="002E3917"/>
    <w:rsid w:val="002E4416"/>
    <w:rsid w:val="002E46DE"/>
    <w:rsid w:val="002E4754"/>
    <w:rsid w:val="002E5C6E"/>
    <w:rsid w:val="002E60D1"/>
    <w:rsid w:val="002E6F9D"/>
    <w:rsid w:val="002E79CB"/>
    <w:rsid w:val="002F009C"/>
    <w:rsid w:val="002F1C3C"/>
    <w:rsid w:val="002F2CC6"/>
    <w:rsid w:val="002F4E5C"/>
    <w:rsid w:val="002F5035"/>
    <w:rsid w:val="002F5698"/>
    <w:rsid w:val="002F5D03"/>
    <w:rsid w:val="002F6396"/>
    <w:rsid w:val="00300085"/>
    <w:rsid w:val="00300619"/>
    <w:rsid w:val="003017E7"/>
    <w:rsid w:val="00301996"/>
    <w:rsid w:val="00301DAF"/>
    <w:rsid w:val="0030220D"/>
    <w:rsid w:val="003022D7"/>
    <w:rsid w:val="00302D42"/>
    <w:rsid w:val="00302E77"/>
    <w:rsid w:val="003031DF"/>
    <w:rsid w:val="003039BD"/>
    <w:rsid w:val="003043E5"/>
    <w:rsid w:val="003057F3"/>
    <w:rsid w:val="00305DB0"/>
    <w:rsid w:val="0030698A"/>
    <w:rsid w:val="00306B2C"/>
    <w:rsid w:val="00307BD0"/>
    <w:rsid w:val="0031062B"/>
    <w:rsid w:val="003107C1"/>
    <w:rsid w:val="003107E2"/>
    <w:rsid w:val="00310D4C"/>
    <w:rsid w:val="00311728"/>
    <w:rsid w:val="0031260D"/>
    <w:rsid w:val="003126A0"/>
    <w:rsid w:val="00313819"/>
    <w:rsid w:val="00313C2D"/>
    <w:rsid w:val="00313E5A"/>
    <w:rsid w:val="003141A1"/>
    <w:rsid w:val="0031537B"/>
    <w:rsid w:val="00316E08"/>
    <w:rsid w:val="003175D1"/>
    <w:rsid w:val="00317C8A"/>
    <w:rsid w:val="00320969"/>
    <w:rsid w:val="00321E08"/>
    <w:rsid w:val="0032245D"/>
    <w:rsid w:val="003232D7"/>
    <w:rsid w:val="003234BA"/>
    <w:rsid w:val="00323FBD"/>
    <w:rsid w:val="00324874"/>
    <w:rsid w:val="00324B36"/>
    <w:rsid w:val="00324D53"/>
    <w:rsid w:val="00325AFB"/>
    <w:rsid w:val="00325B12"/>
    <w:rsid w:val="003263A0"/>
    <w:rsid w:val="00326BF1"/>
    <w:rsid w:val="00326ECD"/>
    <w:rsid w:val="00326FA5"/>
    <w:rsid w:val="00327B03"/>
    <w:rsid w:val="00327CE0"/>
    <w:rsid w:val="00327FE6"/>
    <w:rsid w:val="00330C92"/>
    <w:rsid w:val="0033124D"/>
    <w:rsid w:val="003312A9"/>
    <w:rsid w:val="003324AD"/>
    <w:rsid w:val="00332C64"/>
    <w:rsid w:val="00333547"/>
    <w:rsid w:val="003363C8"/>
    <w:rsid w:val="00337FD0"/>
    <w:rsid w:val="003408BB"/>
    <w:rsid w:val="00341DCF"/>
    <w:rsid w:val="003422F1"/>
    <w:rsid w:val="00344D3F"/>
    <w:rsid w:val="003458A5"/>
    <w:rsid w:val="00345FF0"/>
    <w:rsid w:val="00346BCA"/>
    <w:rsid w:val="00347E37"/>
    <w:rsid w:val="00350128"/>
    <w:rsid w:val="003507C1"/>
    <w:rsid w:val="00351797"/>
    <w:rsid w:val="0035198A"/>
    <w:rsid w:val="00351DC7"/>
    <w:rsid w:val="00353C46"/>
    <w:rsid w:val="003543A7"/>
    <w:rsid w:val="00356297"/>
    <w:rsid w:val="003603CD"/>
    <w:rsid w:val="00360ABA"/>
    <w:rsid w:val="00361C15"/>
    <w:rsid w:val="003623C5"/>
    <w:rsid w:val="00362657"/>
    <w:rsid w:val="00362AA2"/>
    <w:rsid w:val="00364144"/>
    <w:rsid w:val="003656F5"/>
    <w:rsid w:val="00365D83"/>
    <w:rsid w:val="003660FB"/>
    <w:rsid w:val="0036674C"/>
    <w:rsid w:val="00367E31"/>
    <w:rsid w:val="003716F9"/>
    <w:rsid w:val="00373A80"/>
    <w:rsid w:val="00373E55"/>
    <w:rsid w:val="00374834"/>
    <w:rsid w:val="00374C36"/>
    <w:rsid w:val="00374E66"/>
    <w:rsid w:val="00376080"/>
    <w:rsid w:val="0037613F"/>
    <w:rsid w:val="00377247"/>
    <w:rsid w:val="003803DC"/>
    <w:rsid w:val="00380721"/>
    <w:rsid w:val="00380995"/>
    <w:rsid w:val="00381C2A"/>
    <w:rsid w:val="00382600"/>
    <w:rsid w:val="00383D88"/>
    <w:rsid w:val="00383F3B"/>
    <w:rsid w:val="00384099"/>
    <w:rsid w:val="003846C1"/>
    <w:rsid w:val="0038506D"/>
    <w:rsid w:val="00385C24"/>
    <w:rsid w:val="003862D5"/>
    <w:rsid w:val="00386F34"/>
    <w:rsid w:val="00387DCD"/>
    <w:rsid w:val="00390021"/>
    <w:rsid w:val="00390DFE"/>
    <w:rsid w:val="00390E31"/>
    <w:rsid w:val="003911AB"/>
    <w:rsid w:val="00391475"/>
    <w:rsid w:val="0039207F"/>
    <w:rsid w:val="00392923"/>
    <w:rsid w:val="0039467D"/>
    <w:rsid w:val="00394F67"/>
    <w:rsid w:val="003950EB"/>
    <w:rsid w:val="00395425"/>
    <w:rsid w:val="003959D0"/>
    <w:rsid w:val="00395A85"/>
    <w:rsid w:val="00396C0D"/>
    <w:rsid w:val="0039776A"/>
    <w:rsid w:val="0039791A"/>
    <w:rsid w:val="00397EE0"/>
    <w:rsid w:val="003A1B1F"/>
    <w:rsid w:val="003A4E33"/>
    <w:rsid w:val="003A593E"/>
    <w:rsid w:val="003A5A56"/>
    <w:rsid w:val="003A5F8D"/>
    <w:rsid w:val="003A718C"/>
    <w:rsid w:val="003A7266"/>
    <w:rsid w:val="003A72DA"/>
    <w:rsid w:val="003A76AA"/>
    <w:rsid w:val="003A76EE"/>
    <w:rsid w:val="003A79E0"/>
    <w:rsid w:val="003A7D68"/>
    <w:rsid w:val="003A7E2D"/>
    <w:rsid w:val="003B1FCB"/>
    <w:rsid w:val="003B2365"/>
    <w:rsid w:val="003B3A35"/>
    <w:rsid w:val="003B45D7"/>
    <w:rsid w:val="003B60D2"/>
    <w:rsid w:val="003C020B"/>
    <w:rsid w:val="003C0AD6"/>
    <w:rsid w:val="003C2304"/>
    <w:rsid w:val="003C26BA"/>
    <w:rsid w:val="003C3F5A"/>
    <w:rsid w:val="003C475E"/>
    <w:rsid w:val="003C6AFF"/>
    <w:rsid w:val="003D0E69"/>
    <w:rsid w:val="003D1242"/>
    <w:rsid w:val="003D1B2B"/>
    <w:rsid w:val="003D20C9"/>
    <w:rsid w:val="003D2CB3"/>
    <w:rsid w:val="003D3399"/>
    <w:rsid w:val="003D3D81"/>
    <w:rsid w:val="003D47B6"/>
    <w:rsid w:val="003D69C7"/>
    <w:rsid w:val="003D7DFE"/>
    <w:rsid w:val="003E0386"/>
    <w:rsid w:val="003E0F5D"/>
    <w:rsid w:val="003E1AB2"/>
    <w:rsid w:val="003E1BCC"/>
    <w:rsid w:val="003E2C32"/>
    <w:rsid w:val="003E3537"/>
    <w:rsid w:val="003E3F66"/>
    <w:rsid w:val="003E42C0"/>
    <w:rsid w:val="003E46F6"/>
    <w:rsid w:val="003E4AF9"/>
    <w:rsid w:val="003E4EB6"/>
    <w:rsid w:val="003E64B4"/>
    <w:rsid w:val="003F05BD"/>
    <w:rsid w:val="003F0CED"/>
    <w:rsid w:val="003F1080"/>
    <w:rsid w:val="003F26BB"/>
    <w:rsid w:val="003F3287"/>
    <w:rsid w:val="003F4671"/>
    <w:rsid w:val="0040063B"/>
    <w:rsid w:val="004008C9"/>
    <w:rsid w:val="00400D86"/>
    <w:rsid w:val="00402C91"/>
    <w:rsid w:val="00403F76"/>
    <w:rsid w:val="00404527"/>
    <w:rsid w:val="00404872"/>
    <w:rsid w:val="00405A18"/>
    <w:rsid w:val="00405F2E"/>
    <w:rsid w:val="00406186"/>
    <w:rsid w:val="004065AE"/>
    <w:rsid w:val="00406758"/>
    <w:rsid w:val="00407848"/>
    <w:rsid w:val="00410B9B"/>
    <w:rsid w:val="00411C6B"/>
    <w:rsid w:val="00411CA2"/>
    <w:rsid w:val="00411E5E"/>
    <w:rsid w:val="00412038"/>
    <w:rsid w:val="004121E5"/>
    <w:rsid w:val="0041283F"/>
    <w:rsid w:val="00412886"/>
    <w:rsid w:val="004133AF"/>
    <w:rsid w:val="00413CA7"/>
    <w:rsid w:val="00416A12"/>
    <w:rsid w:val="00417602"/>
    <w:rsid w:val="004208D8"/>
    <w:rsid w:val="00420CE2"/>
    <w:rsid w:val="00420E09"/>
    <w:rsid w:val="00421F55"/>
    <w:rsid w:val="00422837"/>
    <w:rsid w:val="00422908"/>
    <w:rsid w:val="00423700"/>
    <w:rsid w:val="00425E1E"/>
    <w:rsid w:val="00426A06"/>
    <w:rsid w:val="004274A3"/>
    <w:rsid w:val="00427749"/>
    <w:rsid w:val="00427E42"/>
    <w:rsid w:val="0043017A"/>
    <w:rsid w:val="00430768"/>
    <w:rsid w:val="0043096A"/>
    <w:rsid w:val="004332A4"/>
    <w:rsid w:val="00433499"/>
    <w:rsid w:val="0043390E"/>
    <w:rsid w:val="00433944"/>
    <w:rsid w:val="00433A9D"/>
    <w:rsid w:val="00440562"/>
    <w:rsid w:val="00440D47"/>
    <w:rsid w:val="004413E3"/>
    <w:rsid w:val="00442BE0"/>
    <w:rsid w:val="0044304F"/>
    <w:rsid w:val="00443A9E"/>
    <w:rsid w:val="0044439A"/>
    <w:rsid w:val="00446036"/>
    <w:rsid w:val="0044661A"/>
    <w:rsid w:val="004466DC"/>
    <w:rsid w:val="00446970"/>
    <w:rsid w:val="00446AA9"/>
    <w:rsid w:val="00447C02"/>
    <w:rsid w:val="00447C04"/>
    <w:rsid w:val="00447D32"/>
    <w:rsid w:val="00447D68"/>
    <w:rsid w:val="00451419"/>
    <w:rsid w:val="0045164F"/>
    <w:rsid w:val="004538B5"/>
    <w:rsid w:val="00453949"/>
    <w:rsid w:val="004543D4"/>
    <w:rsid w:val="0045446D"/>
    <w:rsid w:val="00454ED2"/>
    <w:rsid w:val="00455A3D"/>
    <w:rsid w:val="004561A8"/>
    <w:rsid w:val="0045653B"/>
    <w:rsid w:val="00457636"/>
    <w:rsid w:val="00457756"/>
    <w:rsid w:val="00460919"/>
    <w:rsid w:val="00460E11"/>
    <w:rsid w:val="0046214F"/>
    <w:rsid w:val="004621F8"/>
    <w:rsid w:val="00462AAD"/>
    <w:rsid w:val="00463422"/>
    <w:rsid w:val="004645B8"/>
    <w:rsid w:val="004653BA"/>
    <w:rsid w:val="004656AE"/>
    <w:rsid w:val="0046666D"/>
    <w:rsid w:val="00467575"/>
    <w:rsid w:val="004675DC"/>
    <w:rsid w:val="00467DB4"/>
    <w:rsid w:val="0047021D"/>
    <w:rsid w:val="00471965"/>
    <w:rsid w:val="00471EBD"/>
    <w:rsid w:val="00472061"/>
    <w:rsid w:val="004727E6"/>
    <w:rsid w:val="00472A91"/>
    <w:rsid w:val="004763E7"/>
    <w:rsid w:val="0047643B"/>
    <w:rsid w:val="004764F2"/>
    <w:rsid w:val="004771F8"/>
    <w:rsid w:val="00477226"/>
    <w:rsid w:val="004772F7"/>
    <w:rsid w:val="00477CC3"/>
    <w:rsid w:val="00481816"/>
    <w:rsid w:val="0048195C"/>
    <w:rsid w:val="00481C5C"/>
    <w:rsid w:val="00481D48"/>
    <w:rsid w:val="0048315B"/>
    <w:rsid w:val="00483822"/>
    <w:rsid w:val="00484F54"/>
    <w:rsid w:val="00485EE2"/>
    <w:rsid w:val="00485F5F"/>
    <w:rsid w:val="0048621A"/>
    <w:rsid w:val="00487FE3"/>
    <w:rsid w:val="00490A2D"/>
    <w:rsid w:val="00491A3E"/>
    <w:rsid w:val="00492867"/>
    <w:rsid w:val="00492923"/>
    <w:rsid w:val="00493416"/>
    <w:rsid w:val="0049388A"/>
    <w:rsid w:val="004943E6"/>
    <w:rsid w:val="00496471"/>
    <w:rsid w:val="00496705"/>
    <w:rsid w:val="00497157"/>
    <w:rsid w:val="00497811"/>
    <w:rsid w:val="004978F2"/>
    <w:rsid w:val="004979C1"/>
    <w:rsid w:val="00497B24"/>
    <w:rsid w:val="004A245D"/>
    <w:rsid w:val="004A257C"/>
    <w:rsid w:val="004A311C"/>
    <w:rsid w:val="004A3389"/>
    <w:rsid w:val="004A3DB3"/>
    <w:rsid w:val="004A4462"/>
    <w:rsid w:val="004A4803"/>
    <w:rsid w:val="004A5E6A"/>
    <w:rsid w:val="004A5F0C"/>
    <w:rsid w:val="004A6E9B"/>
    <w:rsid w:val="004A7731"/>
    <w:rsid w:val="004A78B4"/>
    <w:rsid w:val="004B3EDA"/>
    <w:rsid w:val="004B6260"/>
    <w:rsid w:val="004B66DB"/>
    <w:rsid w:val="004B68B2"/>
    <w:rsid w:val="004B6B84"/>
    <w:rsid w:val="004B7280"/>
    <w:rsid w:val="004B7330"/>
    <w:rsid w:val="004B758B"/>
    <w:rsid w:val="004B7C75"/>
    <w:rsid w:val="004C05DE"/>
    <w:rsid w:val="004C0A14"/>
    <w:rsid w:val="004C0CCA"/>
    <w:rsid w:val="004C0FF5"/>
    <w:rsid w:val="004C118A"/>
    <w:rsid w:val="004C1D73"/>
    <w:rsid w:val="004C2F53"/>
    <w:rsid w:val="004C369D"/>
    <w:rsid w:val="004C38FD"/>
    <w:rsid w:val="004C39DD"/>
    <w:rsid w:val="004C3DCC"/>
    <w:rsid w:val="004C42D9"/>
    <w:rsid w:val="004C7708"/>
    <w:rsid w:val="004D00FD"/>
    <w:rsid w:val="004D0360"/>
    <w:rsid w:val="004D0520"/>
    <w:rsid w:val="004D21C2"/>
    <w:rsid w:val="004D21CC"/>
    <w:rsid w:val="004D22BA"/>
    <w:rsid w:val="004D249A"/>
    <w:rsid w:val="004D25EF"/>
    <w:rsid w:val="004D2C89"/>
    <w:rsid w:val="004D3941"/>
    <w:rsid w:val="004D3D04"/>
    <w:rsid w:val="004D4669"/>
    <w:rsid w:val="004D4FAF"/>
    <w:rsid w:val="004D579B"/>
    <w:rsid w:val="004D6E0A"/>
    <w:rsid w:val="004D7825"/>
    <w:rsid w:val="004D7974"/>
    <w:rsid w:val="004E07D4"/>
    <w:rsid w:val="004E1C35"/>
    <w:rsid w:val="004E31E3"/>
    <w:rsid w:val="004E3765"/>
    <w:rsid w:val="004E4C5A"/>
    <w:rsid w:val="004E4DC2"/>
    <w:rsid w:val="004E4E7A"/>
    <w:rsid w:val="004E505D"/>
    <w:rsid w:val="004E58D3"/>
    <w:rsid w:val="004E6970"/>
    <w:rsid w:val="004E6BA0"/>
    <w:rsid w:val="004E73AA"/>
    <w:rsid w:val="004E7C0F"/>
    <w:rsid w:val="004F07D7"/>
    <w:rsid w:val="004F091A"/>
    <w:rsid w:val="004F0A53"/>
    <w:rsid w:val="004F1FA5"/>
    <w:rsid w:val="004F24F0"/>
    <w:rsid w:val="004F2869"/>
    <w:rsid w:val="004F292F"/>
    <w:rsid w:val="004F2B66"/>
    <w:rsid w:val="004F47BB"/>
    <w:rsid w:val="004F53E5"/>
    <w:rsid w:val="004F5CB1"/>
    <w:rsid w:val="004F5E83"/>
    <w:rsid w:val="004F63C8"/>
    <w:rsid w:val="004F76F0"/>
    <w:rsid w:val="004F7B3E"/>
    <w:rsid w:val="00500625"/>
    <w:rsid w:val="00500D2F"/>
    <w:rsid w:val="00500E62"/>
    <w:rsid w:val="0050122B"/>
    <w:rsid w:val="00501735"/>
    <w:rsid w:val="00501B71"/>
    <w:rsid w:val="005032CE"/>
    <w:rsid w:val="00503E16"/>
    <w:rsid w:val="00504818"/>
    <w:rsid w:val="005062E1"/>
    <w:rsid w:val="0050664E"/>
    <w:rsid w:val="00506CF8"/>
    <w:rsid w:val="005076BC"/>
    <w:rsid w:val="005103F3"/>
    <w:rsid w:val="0051108E"/>
    <w:rsid w:val="00511111"/>
    <w:rsid w:val="005111DF"/>
    <w:rsid w:val="00511590"/>
    <w:rsid w:val="00511684"/>
    <w:rsid w:val="00512081"/>
    <w:rsid w:val="005162A6"/>
    <w:rsid w:val="0051701E"/>
    <w:rsid w:val="00517AEA"/>
    <w:rsid w:val="00521315"/>
    <w:rsid w:val="0052166C"/>
    <w:rsid w:val="005218BC"/>
    <w:rsid w:val="0052218D"/>
    <w:rsid w:val="005221A1"/>
    <w:rsid w:val="005226D7"/>
    <w:rsid w:val="005233FC"/>
    <w:rsid w:val="00523675"/>
    <w:rsid w:val="00523D32"/>
    <w:rsid w:val="00526EB7"/>
    <w:rsid w:val="005312A8"/>
    <w:rsid w:val="00531A8B"/>
    <w:rsid w:val="00531E35"/>
    <w:rsid w:val="0053231D"/>
    <w:rsid w:val="00532B26"/>
    <w:rsid w:val="00534D3B"/>
    <w:rsid w:val="005409C3"/>
    <w:rsid w:val="00542185"/>
    <w:rsid w:val="005422EA"/>
    <w:rsid w:val="00544105"/>
    <w:rsid w:val="00544438"/>
    <w:rsid w:val="00544D75"/>
    <w:rsid w:val="00545E8F"/>
    <w:rsid w:val="00546780"/>
    <w:rsid w:val="00547861"/>
    <w:rsid w:val="00547E04"/>
    <w:rsid w:val="00550625"/>
    <w:rsid w:val="0055127F"/>
    <w:rsid w:val="00551644"/>
    <w:rsid w:val="0055294A"/>
    <w:rsid w:val="00552D0A"/>
    <w:rsid w:val="00553F67"/>
    <w:rsid w:val="00553FFD"/>
    <w:rsid w:val="00554533"/>
    <w:rsid w:val="00554534"/>
    <w:rsid w:val="00555A81"/>
    <w:rsid w:val="00555C98"/>
    <w:rsid w:val="00556C3E"/>
    <w:rsid w:val="005572A6"/>
    <w:rsid w:val="00562032"/>
    <w:rsid w:val="00563A63"/>
    <w:rsid w:val="00563BD1"/>
    <w:rsid w:val="00564892"/>
    <w:rsid w:val="00564919"/>
    <w:rsid w:val="00565FE0"/>
    <w:rsid w:val="005661E8"/>
    <w:rsid w:val="00567608"/>
    <w:rsid w:val="00567779"/>
    <w:rsid w:val="00567BDA"/>
    <w:rsid w:val="005707F1"/>
    <w:rsid w:val="00570BEA"/>
    <w:rsid w:val="0057257D"/>
    <w:rsid w:val="00573D8F"/>
    <w:rsid w:val="005745CB"/>
    <w:rsid w:val="005759BD"/>
    <w:rsid w:val="00575CB3"/>
    <w:rsid w:val="0057647E"/>
    <w:rsid w:val="00576EAD"/>
    <w:rsid w:val="00577278"/>
    <w:rsid w:val="00577A54"/>
    <w:rsid w:val="00577BAD"/>
    <w:rsid w:val="005807FB"/>
    <w:rsid w:val="00580B72"/>
    <w:rsid w:val="00580D86"/>
    <w:rsid w:val="00581BC2"/>
    <w:rsid w:val="00581F6F"/>
    <w:rsid w:val="005823EB"/>
    <w:rsid w:val="00582B81"/>
    <w:rsid w:val="005835ED"/>
    <w:rsid w:val="00586500"/>
    <w:rsid w:val="00587427"/>
    <w:rsid w:val="00587974"/>
    <w:rsid w:val="00590FFC"/>
    <w:rsid w:val="00591FE5"/>
    <w:rsid w:val="005930A2"/>
    <w:rsid w:val="005939EA"/>
    <w:rsid w:val="00594000"/>
    <w:rsid w:val="00594683"/>
    <w:rsid w:val="005946A6"/>
    <w:rsid w:val="00594B65"/>
    <w:rsid w:val="00594FB6"/>
    <w:rsid w:val="0059567C"/>
    <w:rsid w:val="005957F6"/>
    <w:rsid w:val="005966E4"/>
    <w:rsid w:val="00596E9C"/>
    <w:rsid w:val="00596F40"/>
    <w:rsid w:val="00596F95"/>
    <w:rsid w:val="0059723E"/>
    <w:rsid w:val="00597305"/>
    <w:rsid w:val="0059795E"/>
    <w:rsid w:val="00597E27"/>
    <w:rsid w:val="00597F42"/>
    <w:rsid w:val="005A2957"/>
    <w:rsid w:val="005A2AAB"/>
    <w:rsid w:val="005A3029"/>
    <w:rsid w:val="005A32D9"/>
    <w:rsid w:val="005A39A2"/>
    <w:rsid w:val="005A4530"/>
    <w:rsid w:val="005A677B"/>
    <w:rsid w:val="005A7BC9"/>
    <w:rsid w:val="005A7D16"/>
    <w:rsid w:val="005B0C36"/>
    <w:rsid w:val="005B11A2"/>
    <w:rsid w:val="005B1A0B"/>
    <w:rsid w:val="005B1C61"/>
    <w:rsid w:val="005B464E"/>
    <w:rsid w:val="005B4AFA"/>
    <w:rsid w:val="005B55AF"/>
    <w:rsid w:val="005B597F"/>
    <w:rsid w:val="005B6DB8"/>
    <w:rsid w:val="005B7131"/>
    <w:rsid w:val="005C01C2"/>
    <w:rsid w:val="005C0435"/>
    <w:rsid w:val="005C1A92"/>
    <w:rsid w:val="005C20FF"/>
    <w:rsid w:val="005C2118"/>
    <w:rsid w:val="005C30D7"/>
    <w:rsid w:val="005C3C57"/>
    <w:rsid w:val="005D0259"/>
    <w:rsid w:val="005D0839"/>
    <w:rsid w:val="005D0B2A"/>
    <w:rsid w:val="005D2372"/>
    <w:rsid w:val="005D2C1C"/>
    <w:rsid w:val="005D321B"/>
    <w:rsid w:val="005D32D4"/>
    <w:rsid w:val="005D4374"/>
    <w:rsid w:val="005D4A6C"/>
    <w:rsid w:val="005D4EF6"/>
    <w:rsid w:val="005D62FF"/>
    <w:rsid w:val="005D6B33"/>
    <w:rsid w:val="005E0C28"/>
    <w:rsid w:val="005E0E23"/>
    <w:rsid w:val="005E1143"/>
    <w:rsid w:val="005E3938"/>
    <w:rsid w:val="005E5AD8"/>
    <w:rsid w:val="005E7FA7"/>
    <w:rsid w:val="005F1009"/>
    <w:rsid w:val="005F11DE"/>
    <w:rsid w:val="005F1F66"/>
    <w:rsid w:val="005F277B"/>
    <w:rsid w:val="005F27B3"/>
    <w:rsid w:val="005F28DC"/>
    <w:rsid w:val="005F5DE8"/>
    <w:rsid w:val="005F60D1"/>
    <w:rsid w:val="005F6823"/>
    <w:rsid w:val="005F6B3B"/>
    <w:rsid w:val="006002C7"/>
    <w:rsid w:val="0060136B"/>
    <w:rsid w:val="006014DD"/>
    <w:rsid w:val="006017BF"/>
    <w:rsid w:val="0060249B"/>
    <w:rsid w:val="0060301A"/>
    <w:rsid w:val="0060353B"/>
    <w:rsid w:val="0060440C"/>
    <w:rsid w:val="0060512B"/>
    <w:rsid w:val="006054B5"/>
    <w:rsid w:val="0060660E"/>
    <w:rsid w:val="00607448"/>
    <w:rsid w:val="00607F8D"/>
    <w:rsid w:val="00611103"/>
    <w:rsid w:val="0061253E"/>
    <w:rsid w:val="00612B70"/>
    <w:rsid w:val="00613998"/>
    <w:rsid w:val="006160EB"/>
    <w:rsid w:val="00617F66"/>
    <w:rsid w:val="00620349"/>
    <w:rsid w:val="006226EC"/>
    <w:rsid w:val="00622BF0"/>
    <w:rsid w:val="00623024"/>
    <w:rsid w:val="0062340F"/>
    <w:rsid w:val="0062463D"/>
    <w:rsid w:val="00626657"/>
    <w:rsid w:val="006266B8"/>
    <w:rsid w:val="0063118B"/>
    <w:rsid w:val="0063186B"/>
    <w:rsid w:val="00631966"/>
    <w:rsid w:val="0063231D"/>
    <w:rsid w:val="006327DE"/>
    <w:rsid w:val="00632B11"/>
    <w:rsid w:val="00632BA2"/>
    <w:rsid w:val="00632CBD"/>
    <w:rsid w:val="006334B2"/>
    <w:rsid w:val="0063409D"/>
    <w:rsid w:val="00634C29"/>
    <w:rsid w:val="00634FBD"/>
    <w:rsid w:val="0063504F"/>
    <w:rsid w:val="00636325"/>
    <w:rsid w:val="00637F42"/>
    <w:rsid w:val="00637FFA"/>
    <w:rsid w:val="0064063A"/>
    <w:rsid w:val="00640A2C"/>
    <w:rsid w:val="0064167E"/>
    <w:rsid w:val="006422B4"/>
    <w:rsid w:val="00642F89"/>
    <w:rsid w:val="006439F3"/>
    <w:rsid w:val="00643BFA"/>
    <w:rsid w:val="0064415C"/>
    <w:rsid w:val="00644E5A"/>
    <w:rsid w:val="0064558C"/>
    <w:rsid w:val="00645969"/>
    <w:rsid w:val="00645A1C"/>
    <w:rsid w:val="00646C24"/>
    <w:rsid w:val="0064720C"/>
    <w:rsid w:val="006472B1"/>
    <w:rsid w:val="006478FF"/>
    <w:rsid w:val="00647B87"/>
    <w:rsid w:val="00650279"/>
    <w:rsid w:val="00651E17"/>
    <w:rsid w:val="00652613"/>
    <w:rsid w:val="0065368D"/>
    <w:rsid w:val="00653F77"/>
    <w:rsid w:val="00654913"/>
    <w:rsid w:val="00655323"/>
    <w:rsid w:val="00655AA4"/>
    <w:rsid w:val="00655E67"/>
    <w:rsid w:val="00656395"/>
    <w:rsid w:val="00656FE8"/>
    <w:rsid w:val="00657DE4"/>
    <w:rsid w:val="00660C12"/>
    <w:rsid w:val="00661325"/>
    <w:rsid w:val="0066359F"/>
    <w:rsid w:val="00663D66"/>
    <w:rsid w:val="00665673"/>
    <w:rsid w:val="00666821"/>
    <w:rsid w:val="00671080"/>
    <w:rsid w:val="006741B1"/>
    <w:rsid w:val="00674ED3"/>
    <w:rsid w:val="00675418"/>
    <w:rsid w:val="00675695"/>
    <w:rsid w:val="00675833"/>
    <w:rsid w:val="00675EE2"/>
    <w:rsid w:val="006775C3"/>
    <w:rsid w:val="00677AC8"/>
    <w:rsid w:val="00677B73"/>
    <w:rsid w:val="00677CE8"/>
    <w:rsid w:val="00677F7C"/>
    <w:rsid w:val="00680666"/>
    <w:rsid w:val="00681671"/>
    <w:rsid w:val="00682C3F"/>
    <w:rsid w:val="00683517"/>
    <w:rsid w:val="00683C8F"/>
    <w:rsid w:val="006840CB"/>
    <w:rsid w:val="006864CA"/>
    <w:rsid w:val="00686F35"/>
    <w:rsid w:val="00686F61"/>
    <w:rsid w:val="00690241"/>
    <w:rsid w:val="00692E37"/>
    <w:rsid w:val="00693310"/>
    <w:rsid w:val="00693A48"/>
    <w:rsid w:val="00693B71"/>
    <w:rsid w:val="00694BBE"/>
    <w:rsid w:val="00694D5D"/>
    <w:rsid w:val="0069583A"/>
    <w:rsid w:val="00695922"/>
    <w:rsid w:val="00695C68"/>
    <w:rsid w:val="00696C78"/>
    <w:rsid w:val="006A0316"/>
    <w:rsid w:val="006A084C"/>
    <w:rsid w:val="006A08F8"/>
    <w:rsid w:val="006A0A8E"/>
    <w:rsid w:val="006A0FFE"/>
    <w:rsid w:val="006A1285"/>
    <w:rsid w:val="006A1753"/>
    <w:rsid w:val="006A18BD"/>
    <w:rsid w:val="006A2269"/>
    <w:rsid w:val="006A27F4"/>
    <w:rsid w:val="006A55B5"/>
    <w:rsid w:val="006A5827"/>
    <w:rsid w:val="006A5B70"/>
    <w:rsid w:val="006A6DBF"/>
    <w:rsid w:val="006A6FF9"/>
    <w:rsid w:val="006A75E2"/>
    <w:rsid w:val="006B2C76"/>
    <w:rsid w:val="006B5154"/>
    <w:rsid w:val="006B5D5C"/>
    <w:rsid w:val="006B658E"/>
    <w:rsid w:val="006B6BAA"/>
    <w:rsid w:val="006B6C31"/>
    <w:rsid w:val="006B6E73"/>
    <w:rsid w:val="006B70E6"/>
    <w:rsid w:val="006B7543"/>
    <w:rsid w:val="006B7C78"/>
    <w:rsid w:val="006B7DB6"/>
    <w:rsid w:val="006B7E3A"/>
    <w:rsid w:val="006C1AD5"/>
    <w:rsid w:val="006C1D82"/>
    <w:rsid w:val="006C2D0D"/>
    <w:rsid w:val="006C2D61"/>
    <w:rsid w:val="006C37E4"/>
    <w:rsid w:val="006C3B46"/>
    <w:rsid w:val="006C40E4"/>
    <w:rsid w:val="006C44D4"/>
    <w:rsid w:val="006C5C96"/>
    <w:rsid w:val="006C5D52"/>
    <w:rsid w:val="006C5DDB"/>
    <w:rsid w:val="006C7317"/>
    <w:rsid w:val="006C7B54"/>
    <w:rsid w:val="006C7C3B"/>
    <w:rsid w:val="006C7D88"/>
    <w:rsid w:val="006D0842"/>
    <w:rsid w:val="006D17F2"/>
    <w:rsid w:val="006D3CBE"/>
    <w:rsid w:val="006D4088"/>
    <w:rsid w:val="006D524F"/>
    <w:rsid w:val="006D5FD8"/>
    <w:rsid w:val="006D780C"/>
    <w:rsid w:val="006E0547"/>
    <w:rsid w:val="006E166F"/>
    <w:rsid w:val="006E27FF"/>
    <w:rsid w:val="006E2AB5"/>
    <w:rsid w:val="006E2DA9"/>
    <w:rsid w:val="006E3B57"/>
    <w:rsid w:val="006E3CFF"/>
    <w:rsid w:val="006E50ED"/>
    <w:rsid w:val="006E5935"/>
    <w:rsid w:val="006E5992"/>
    <w:rsid w:val="006F48BF"/>
    <w:rsid w:val="006F5ACD"/>
    <w:rsid w:val="006F5ADF"/>
    <w:rsid w:val="006F7144"/>
    <w:rsid w:val="006F79B9"/>
    <w:rsid w:val="0070148C"/>
    <w:rsid w:val="00701C56"/>
    <w:rsid w:val="007049A3"/>
    <w:rsid w:val="00705094"/>
    <w:rsid w:val="00706454"/>
    <w:rsid w:val="00706C30"/>
    <w:rsid w:val="0070749A"/>
    <w:rsid w:val="00710B92"/>
    <w:rsid w:val="007121D2"/>
    <w:rsid w:val="00712484"/>
    <w:rsid w:val="007124F4"/>
    <w:rsid w:val="0071460E"/>
    <w:rsid w:val="0071478B"/>
    <w:rsid w:val="0071658D"/>
    <w:rsid w:val="007209D0"/>
    <w:rsid w:val="00720B13"/>
    <w:rsid w:val="00722906"/>
    <w:rsid w:val="007237E0"/>
    <w:rsid w:val="0072543F"/>
    <w:rsid w:val="00726A09"/>
    <w:rsid w:val="007277C4"/>
    <w:rsid w:val="007302C7"/>
    <w:rsid w:val="0073078B"/>
    <w:rsid w:val="00730925"/>
    <w:rsid w:val="00732064"/>
    <w:rsid w:val="0073244A"/>
    <w:rsid w:val="00732CBB"/>
    <w:rsid w:val="00732CBC"/>
    <w:rsid w:val="00733490"/>
    <w:rsid w:val="007347DF"/>
    <w:rsid w:val="00734D69"/>
    <w:rsid w:val="00734FBC"/>
    <w:rsid w:val="0073535F"/>
    <w:rsid w:val="00735A76"/>
    <w:rsid w:val="00736465"/>
    <w:rsid w:val="00736DD8"/>
    <w:rsid w:val="0073742D"/>
    <w:rsid w:val="00737711"/>
    <w:rsid w:val="0073777C"/>
    <w:rsid w:val="00737792"/>
    <w:rsid w:val="0073799C"/>
    <w:rsid w:val="007401E8"/>
    <w:rsid w:val="00740C4B"/>
    <w:rsid w:val="00741471"/>
    <w:rsid w:val="0074170E"/>
    <w:rsid w:val="00742A0E"/>
    <w:rsid w:val="00744A80"/>
    <w:rsid w:val="007459BF"/>
    <w:rsid w:val="0074629F"/>
    <w:rsid w:val="00746987"/>
    <w:rsid w:val="007502BE"/>
    <w:rsid w:val="0075032F"/>
    <w:rsid w:val="00750BD5"/>
    <w:rsid w:val="00751CF5"/>
    <w:rsid w:val="00751D8D"/>
    <w:rsid w:val="00752191"/>
    <w:rsid w:val="007529A5"/>
    <w:rsid w:val="00753302"/>
    <w:rsid w:val="00753524"/>
    <w:rsid w:val="007550E2"/>
    <w:rsid w:val="007554BE"/>
    <w:rsid w:val="00755704"/>
    <w:rsid w:val="00757C06"/>
    <w:rsid w:val="00757F99"/>
    <w:rsid w:val="00760C82"/>
    <w:rsid w:val="0076395E"/>
    <w:rsid w:val="00763D67"/>
    <w:rsid w:val="00765AB7"/>
    <w:rsid w:val="007669BA"/>
    <w:rsid w:val="0076797A"/>
    <w:rsid w:val="00771CEA"/>
    <w:rsid w:val="00772EB7"/>
    <w:rsid w:val="007732B4"/>
    <w:rsid w:val="00774356"/>
    <w:rsid w:val="00774724"/>
    <w:rsid w:val="00775353"/>
    <w:rsid w:val="007767F5"/>
    <w:rsid w:val="00776E58"/>
    <w:rsid w:val="00780A00"/>
    <w:rsid w:val="00780BB2"/>
    <w:rsid w:val="0078197B"/>
    <w:rsid w:val="007822F7"/>
    <w:rsid w:val="00782464"/>
    <w:rsid w:val="0078301A"/>
    <w:rsid w:val="00783387"/>
    <w:rsid w:val="00783594"/>
    <w:rsid w:val="00783701"/>
    <w:rsid w:val="007838BB"/>
    <w:rsid w:val="00783921"/>
    <w:rsid w:val="00783E0B"/>
    <w:rsid w:val="0078472B"/>
    <w:rsid w:val="0078477D"/>
    <w:rsid w:val="00785E77"/>
    <w:rsid w:val="007865E4"/>
    <w:rsid w:val="00786F19"/>
    <w:rsid w:val="00787E99"/>
    <w:rsid w:val="007904F2"/>
    <w:rsid w:val="00790EF3"/>
    <w:rsid w:val="007918B5"/>
    <w:rsid w:val="00791DCC"/>
    <w:rsid w:val="007935B8"/>
    <w:rsid w:val="00793F1F"/>
    <w:rsid w:val="007941DE"/>
    <w:rsid w:val="007946D4"/>
    <w:rsid w:val="007957F6"/>
    <w:rsid w:val="00795FD1"/>
    <w:rsid w:val="0079625F"/>
    <w:rsid w:val="00796CE2"/>
    <w:rsid w:val="00797E50"/>
    <w:rsid w:val="007A0C06"/>
    <w:rsid w:val="007A0F11"/>
    <w:rsid w:val="007A2913"/>
    <w:rsid w:val="007A336E"/>
    <w:rsid w:val="007A37B5"/>
    <w:rsid w:val="007A3987"/>
    <w:rsid w:val="007A3C6C"/>
    <w:rsid w:val="007A4912"/>
    <w:rsid w:val="007A4F4C"/>
    <w:rsid w:val="007A5E10"/>
    <w:rsid w:val="007A6E4D"/>
    <w:rsid w:val="007B2959"/>
    <w:rsid w:val="007B37A8"/>
    <w:rsid w:val="007B42E6"/>
    <w:rsid w:val="007B4328"/>
    <w:rsid w:val="007B5480"/>
    <w:rsid w:val="007B58AF"/>
    <w:rsid w:val="007B5D43"/>
    <w:rsid w:val="007B7229"/>
    <w:rsid w:val="007C0B24"/>
    <w:rsid w:val="007C1B78"/>
    <w:rsid w:val="007C1C7D"/>
    <w:rsid w:val="007C2454"/>
    <w:rsid w:val="007C2729"/>
    <w:rsid w:val="007C4786"/>
    <w:rsid w:val="007C47A4"/>
    <w:rsid w:val="007C5234"/>
    <w:rsid w:val="007C5F94"/>
    <w:rsid w:val="007C678C"/>
    <w:rsid w:val="007C70E6"/>
    <w:rsid w:val="007C7857"/>
    <w:rsid w:val="007C787F"/>
    <w:rsid w:val="007D09B0"/>
    <w:rsid w:val="007D1DEF"/>
    <w:rsid w:val="007D4F20"/>
    <w:rsid w:val="007D5018"/>
    <w:rsid w:val="007D552C"/>
    <w:rsid w:val="007D57D4"/>
    <w:rsid w:val="007D6D8C"/>
    <w:rsid w:val="007E08CE"/>
    <w:rsid w:val="007E2230"/>
    <w:rsid w:val="007E28F4"/>
    <w:rsid w:val="007E2A33"/>
    <w:rsid w:val="007E2FFA"/>
    <w:rsid w:val="007E3927"/>
    <w:rsid w:val="007E3996"/>
    <w:rsid w:val="007E3A2C"/>
    <w:rsid w:val="007E4FCB"/>
    <w:rsid w:val="007E55CD"/>
    <w:rsid w:val="007E56B3"/>
    <w:rsid w:val="007E595C"/>
    <w:rsid w:val="007E63A8"/>
    <w:rsid w:val="007E68AC"/>
    <w:rsid w:val="007E6AB5"/>
    <w:rsid w:val="007E7273"/>
    <w:rsid w:val="007E7983"/>
    <w:rsid w:val="007F0046"/>
    <w:rsid w:val="007F0D69"/>
    <w:rsid w:val="007F1991"/>
    <w:rsid w:val="007F2336"/>
    <w:rsid w:val="007F45B2"/>
    <w:rsid w:val="007F496E"/>
    <w:rsid w:val="007F638F"/>
    <w:rsid w:val="007F652B"/>
    <w:rsid w:val="007F66E2"/>
    <w:rsid w:val="007F68EC"/>
    <w:rsid w:val="007F7041"/>
    <w:rsid w:val="007F7E60"/>
    <w:rsid w:val="00800AAD"/>
    <w:rsid w:val="0080114E"/>
    <w:rsid w:val="008014BA"/>
    <w:rsid w:val="00801858"/>
    <w:rsid w:val="00802227"/>
    <w:rsid w:val="008042D9"/>
    <w:rsid w:val="00805C4D"/>
    <w:rsid w:val="00807563"/>
    <w:rsid w:val="008078D9"/>
    <w:rsid w:val="00812B15"/>
    <w:rsid w:val="00812DC1"/>
    <w:rsid w:val="0081328D"/>
    <w:rsid w:val="00814B41"/>
    <w:rsid w:val="0081553A"/>
    <w:rsid w:val="00815902"/>
    <w:rsid w:val="00816B51"/>
    <w:rsid w:val="008202C7"/>
    <w:rsid w:val="008223C8"/>
    <w:rsid w:val="00823573"/>
    <w:rsid w:val="00824017"/>
    <w:rsid w:val="008241B7"/>
    <w:rsid w:val="008249F9"/>
    <w:rsid w:val="0082561E"/>
    <w:rsid w:val="00826553"/>
    <w:rsid w:val="00826BC9"/>
    <w:rsid w:val="00830308"/>
    <w:rsid w:val="008314A8"/>
    <w:rsid w:val="008316A5"/>
    <w:rsid w:val="00833425"/>
    <w:rsid w:val="0083375F"/>
    <w:rsid w:val="0083489C"/>
    <w:rsid w:val="00835721"/>
    <w:rsid w:val="0083793B"/>
    <w:rsid w:val="00841550"/>
    <w:rsid w:val="0084166E"/>
    <w:rsid w:val="00842ECC"/>
    <w:rsid w:val="008449FF"/>
    <w:rsid w:val="00844DE8"/>
    <w:rsid w:val="00845FE9"/>
    <w:rsid w:val="0084746F"/>
    <w:rsid w:val="00847606"/>
    <w:rsid w:val="00851126"/>
    <w:rsid w:val="0085183F"/>
    <w:rsid w:val="00851FFB"/>
    <w:rsid w:val="00852C6F"/>
    <w:rsid w:val="00853A61"/>
    <w:rsid w:val="00853F75"/>
    <w:rsid w:val="008546AE"/>
    <w:rsid w:val="00854B70"/>
    <w:rsid w:val="00854FCB"/>
    <w:rsid w:val="00857E0A"/>
    <w:rsid w:val="008620F5"/>
    <w:rsid w:val="008623DC"/>
    <w:rsid w:val="00862ABF"/>
    <w:rsid w:val="008640AF"/>
    <w:rsid w:val="00866262"/>
    <w:rsid w:val="0086654A"/>
    <w:rsid w:val="00866F7D"/>
    <w:rsid w:val="00870598"/>
    <w:rsid w:val="0087076E"/>
    <w:rsid w:val="00871092"/>
    <w:rsid w:val="008726E7"/>
    <w:rsid w:val="00872765"/>
    <w:rsid w:val="00873335"/>
    <w:rsid w:val="00873596"/>
    <w:rsid w:val="0087400A"/>
    <w:rsid w:val="00875620"/>
    <w:rsid w:val="00880448"/>
    <w:rsid w:val="0088079B"/>
    <w:rsid w:val="00881094"/>
    <w:rsid w:val="008817A8"/>
    <w:rsid w:val="00881CDA"/>
    <w:rsid w:val="00883ECA"/>
    <w:rsid w:val="00883FC9"/>
    <w:rsid w:val="00884834"/>
    <w:rsid w:val="00884871"/>
    <w:rsid w:val="00884B52"/>
    <w:rsid w:val="00884DEA"/>
    <w:rsid w:val="00885F7B"/>
    <w:rsid w:val="00890A7F"/>
    <w:rsid w:val="00891BCA"/>
    <w:rsid w:val="008923FC"/>
    <w:rsid w:val="00892A8B"/>
    <w:rsid w:val="00892C06"/>
    <w:rsid w:val="008934B2"/>
    <w:rsid w:val="00893D42"/>
    <w:rsid w:val="00894AEE"/>
    <w:rsid w:val="00895C09"/>
    <w:rsid w:val="00895D04"/>
    <w:rsid w:val="008A0365"/>
    <w:rsid w:val="008A08E2"/>
    <w:rsid w:val="008A093F"/>
    <w:rsid w:val="008A0966"/>
    <w:rsid w:val="008A0CDE"/>
    <w:rsid w:val="008A1B1E"/>
    <w:rsid w:val="008A276D"/>
    <w:rsid w:val="008A2861"/>
    <w:rsid w:val="008A2C76"/>
    <w:rsid w:val="008A313D"/>
    <w:rsid w:val="008A6F3F"/>
    <w:rsid w:val="008A6F46"/>
    <w:rsid w:val="008B0DA5"/>
    <w:rsid w:val="008B3162"/>
    <w:rsid w:val="008B3785"/>
    <w:rsid w:val="008B3B50"/>
    <w:rsid w:val="008B54CA"/>
    <w:rsid w:val="008B5878"/>
    <w:rsid w:val="008B5E15"/>
    <w:rsid w:val="008B6DAA"/>
    <w:rsid w:val="008C0B53"/>
    <w:rsid w:val="008C0D24"/>
    <w:rsid w:val="008C1490"/>
    <w:rsid w:val="008C2262"/>
    <w:rsid w:val="008C2639"/>
    <w:rsid w:val="008C300C"/>
    <w:rsid w:val="008C382C"/>
    <w:rsid w:val="008C3D26"/>
    <w:rsid w:val="008C4119"/>
    <w:rsid w:val="008C4198"/>
    <w:rsid w:val="008C4D5F"/>
    <w:rsid w:val="008C69BD"/>
    <w:rsid w:val="008D010E"/>
    <w:rsid w:val="008D1BF9"/>
    <w:rsid w:val="008D3072"/>
    <w:rsid w:val="008D30A5"/>
    <w:rsid w:val="008D34E7"/>
    <w:rsid w:val="008D3F89"/>
    <w:rsid w:val="008D47E5"/>
    <w:rsid w:val="008D6A8A"/>
    <w:rsid w:val="008D704A"/>
    <w:rsid w:val="008D759D"/>
    <w:rsid w:val="008D7B4F"/>
    <w:rsid w:val="008E1251"/>
    <w:rsid w:val="008E204D"/>
    <w:rsid w:val="008E2560"/>
    <w:rsid w:val="008E350C"/>
    <w:rsid w:val="008E3C67"/>
    <w:rsid w:val="008E6DF2"/>
    <w:rsid w:val="008E7C70"/>
    <w:rsid w:val="008E7CB6"/>
    <w:rsid w:val="008F0B59"/>
    <w:rsid w:val="008F145E"/>
    <w:rsid w:val="008F1B44"/>
    <w:rsid w:val="008F54E2"/>
    <w:rsid w:val="008F565D"/>
    <w:rsid w:val="009015A7"/>
    <w:rsid w:val="009039F3"/>
    <w:rsid w:val="00903A82"/>
    <w:rsid w:val="00904A18"/>
    <w:rsid w:val="009054B6"/>
    <w:rsid w:val="0090646B"/>
    <w:rsid w:val="00907188"/>
    <w:rsid w:val="009074CE"/>
    <w:rsid w:val="00907EA4"/>
    <w:rsid w:val="009105EB"/>
    <w:rsid w:val="009106EB"/>
    <w:rsid w:val="00912667"/>
    <w:rsid w:val="00913206"/>
    <w:rsid w:val="0091321D"/>
    <w:rsid w:val="009139C0"/>
    <w:rsid w:val="009149A7"/>
    <w:rsid w:val="00914CA9"/>
    <w:rsid w:val="009150BB"/>
    <w:rsid w:val="009152A9"/>
    <w:rsid w:val="00916568"/>
    <w:rsid w:val="009168C9"/>
    <w:rsid w:val="00916A45"/>
    <w:rsid w:val="009201DB"/>
    <w:rsid w:val="00920AD6"/>
    <w:rsid w:val="00921928"/>
    <w:rsid w:val="00921DDF"/>
    <w:rsid w:val="00922FB3"/>
    <w:rsid w:val="009232CA"/>
    <w:rsid w:val="009232EC"/>
    <w:rsid w:val="0092387F"/>
    <w:rsid w:val="0092465F"/>
    <w:rsid w:val="00925902"/>
    <w:rsid w:val="00925FA0"/>
    <w:rsid w:val="009270CC"/>
    <w:rsid w:val="00927836"/>
    <w:rsid w:val="00927D86"/>
    <w:rsid w:val="00932599"/>
    <w:rsid w:val="0093332C"/>
    <w:rsid w:val="00935244"/>
    <w:rsid w:val="00936003"/>
    <w:rsid w:val="00936B49"/>
    <w:rsid w:val="00940371"/>
    <w:rsid w:val="00941433"/>
    <w:rsid w:val="00941F87"/>
    <w:rsid w:val="00944210"/>
    <w:rsid w:val="0094637C"/>
    <w:rsid w:val="00946F5F"/>
    <w:rsid w:val="009479DB"/>
    <w:rsid w:val="00950715"/>
    <w:rsid w:val="009511DA"/>
    <w:rsid w:val="009518AF"/>
    <w:rsid w:val="009519C6"/>
    <w:rsid w:val="00951B27"/>
    <w:rsid w:val="00952365"/>
    <w:rsid w:val="00952A83"/>
    <w:rsid w:val="0095340F"/>
    <w:rsid w:val="00953618"/>
    <w:rsid w:val="00954637"/>
    <w:rsid w:val="0095470B"/>
    <w:rsid w:val="00960B72"/>
    <w:rsid w:val="0096136C"/>
    <w:rsid w:val="009627D0"/>
    <w:rsid w:val="009640B9"/>
    <w:rsid w:val="009654F4"/>
    <w:rsid w:val="00965C4D"/>
    <w:rsid w:val="00966D38"/>
    <w:rsid w:val="00971CBF"/>
    <w:rsid w:val="00972941"/>
    <w:rsid w:val="0097366E"/>
    <w:rsid w:val="00973DBA"/>
    <w:rsid w:val="00974080"/>
    <w:rsid w:val="009751A8"/>
    <w:rsid w:val="009766A0"/>
    <w:rsid w:val="009774AF"/>
    <w:rsid w:val="00980E88"/>
    <w:rsid w:val="0098134D"/>
    <w:rsid w:val="00981DD9"/>
    <w:rsid w:val="00983024"/>
    <w:rsid w:val="009835BA"/>
    <w:rsid w:val="00984DC0"/>
    <w:rsid w:val="00990A35"/>
    <w:rsid w:val="00990B1E"/>
    <w:rsid w:val="00991297"/>
    <w:rsid w:val="0099189D"/>
    <w:rsid w:val="00992200"/>
    <w:rsid w:val="00992C7B"/>
    <w:rsid w:val="00994D2C"/>
    <w:rsid w:val="00994EB5"/>
    <w:rsid w:val="00995343"/>
    <w:rsid w:val="009959D1"/>
    <w:rsid w:val="009960F3"/>
    <w:rsid w:val="009A06D8"/>
    <w:rsid w:val="009A093D"/>
    <w:rsid w:val="009A1B68"/>
    <w:rsid w:val="009A2F5B"/>
    <w:rsid w:val="009A37F5"/>
    <w:rsid w:val="009A3954"/>
    <w:rsid w:val="009A4939"/>
    <w:rsid w:val="009A5B34"/>
    <w:rsid w:val="009A5D29"/>
    <w:rsid w:val="009A61B9"/>
    <w:rsid w:val="009A7095"/>
    <w:rsid w:val="009B0650"/>
    <w:rsid w:val="009B1008"/>
    <w:rsid w:val="009B159A"/>
    <w:rsid w:val="009B1F2F"/>
    <w:rsid w:val="009B295B"/>
    <w:rsid w:val="009B2EB1"/>
    <w:rsid w:val="009B30A3"/>
    <w:rsid w:val="009B34B8"/>
    <w:rsid w:val="009B3917"/>
    <w:rsid w:val="009B3EE4"/>
    <w:rsid w:val="009B4696"/>
    <w:rsid w:val="009B4996"/>
    <w:rsid w:val="009B63DC"/>
    <w:rsid w:val="009C021F"/>
    <w:rsid w:val="009C066E"/>
    <w:rsid w:val="009C08DE"/>
    <w:rsid w:val="009C0E2A"/>
    <w:rsid w:val="009C1508"/>
    <w:rsid w:val="009C2ABA"/>
    <w:rsid w:val="009C4A72"/>
    <w:rsid w:val="009C6070"/>
    <w:rsid w:val="009D0A49"/>
    <w:rsid w:val="009D0C0C"/>
    <w:rsid w:val="009D0CB8"/>
    <w:rsid w:val="009D1244"/>
    <w:rsid w:val="009D30BB"/>
    <w:rsid w:val="009D3785"/>
    <w:rsid w:val="009D37B0"/>
    <w:rsid w:val="009D3DCE"/>
    <w:rsid w:val="009D4955"/>
    <w:rsid w:val="009D4E8E"/>
    <w:rsid w:val="009D5545"/>
    <w:rsid w:val="009D5F41"/>
    <w:rsid w:val="009D63A0"/>
    <w:rsid w:val="009D6587"/>
    <w:rsid w:val="009D65E5"/>
    <w:rsid w:val="009D7C30"/>
    <w:rsid w:val="009E11D5"/>
    <w:rsid w:val="009E29A9"/>
    <w:rsid w:val="009E3157"/>
    <w:rsid w:val="009E3760"/>
    <w:rsid w:val="009E3C44"/>
    <w:rsid w:val="009E4A40"/>
    <w:rsid w:val="009E4DD1"/>
    <w:rsid w:val="009E5370"/>
    <w:rsid w:val="009E5896"/>
    <w:rsid w:val="009E6C8F"/>
    <w:rsid w:val="009E6F20"/>
    <w:rsid w:val="009E719B"/>
    <w:rsid w:val="009E7348"/>
    <w:rsid w:val="009E7754"/>
    <w:rsid w:val="009E7E4F"/>
    <w:rsid w:val="009F0ACA"/>
    <w:rsid w:val="009F27CD"/>
    <w:rsid w:val="009F2B83"/>
    <w:rsid w:val="009F34F2"/>
    <w:rsid w:val="009F35A0"/>
    <w:rsid w:val="009F39B0"/>
    <w:rsid w:val="009F43FB"/>
    <w:rsid w:val="009F4D1D"/>
    <w:rsid w:val="009F4FF3"/>
    <w:rsid w:val="009F515E"/>
    <w:rsid w:val="009F5E1B"/>
    <w:rsid w:val="009F6C90"/>
    <w:rsid w:val="009F6E54"/>
    <w:rsid w:val="009F794B"/>
    <w:rsid w:val="009F7F1B"/>
    <w:rsid w:val="00A01049"/>
    <w:rsid w:val="00A01790"/>
    <w:rsid w:val="00A01BCD"/>
    <w:rsid w:val="00A0245B"/>
    <w:rsid w:val="00A0259A"/>
    <w:rsid w:val="00A02D49"/>
    <w:rsid w:val="00A02F85"/>
    <w:rsid w:val="00A032F6"/>
    <w:rsid w:val="00A03436"/>
    <w:rsid w:val="00A04B7A"/>
    <w:rsid w:val="00A0531D"/>
    <w:rsid w:val="00A06BF0"/>
    <w:rsid w:val="00A06F9A"/>
    <w:rsid w:val="00A074F2"/>
    <w:rsid w:val="00A10B9A"/>
    <w:rsid w:val="00A10C93"/>
    <w:rsid w:val="00A119D9"/>
    <w:rsid w:val="00A11AA5"/>
    <w:rsid w:val="00A13102"/>
    <w:rsid w:val="00A140C6"/>
    <w:rsid w:val="00A14779"/>
    <w:rsid w:val="00A15D48"/>
    <w:rsid w:val="00A15EF1"/>
    <w:rsid w:val="00A16D27"/>
    <w:rsid w:val="00A16FC8"/>
    <w:rsid w:val="00A17771"/>
    <w:rsid w:val="00A17F4B"/>
    <w:rsid w:val="00A2041D"/>
    <w:rsid w:val="00A222D9"/>
    <w:rsid w:val="00A22768"/>
    <w:rsid w:val="00A24D2B"/>
    <w:rsid w:val="00A24DC3"/>
    <w:rsid w:val="00A25113"/>
    <w:rsid w:val="00A276D9"/>
    <w:rsid w:val="00A27F53"/>
    <w:rsid w:val="00A32BBD"/>
    <w:rsid w:val="00A345D3"/>
    <w:rsid w:val="00A35245"/>
    <w:rsid w:val="00A35C60"/>
    <w:rsid w:val="00A366EA"/>
    <w:rsid w:val="00A36772"/>
    <w:rsid w:val="00A36A27"/>
    <w:rsid w:val="00A36BFB"/>
    <w:rsid w:val="00A37DB6"/>
    <w:rsid w:val="00A400D9"/>
    <w:rsid w:val="00A40807"/>
    <w:rsid w:val="00A4119B"/>
    <w:rsid w:val="00A41AB7"/>
    <w:rsid w:val="00A4226D"/>
    <w:rsid w:val="00A4251C"/>
    <w:rsid w:val="00A4287E"/>
    <w:rsid w:val="00A430F2"/>
    <w:rsid w:val="00A43240"/>
    <w:rsid w:val="00A437F7"/>
    <w:rsid w:val="00A4536C"/>
    <w:rsid w:val="00A45623"/>
    <w:rsid w:val="00A46272"/>
    <w:rsid w:val="00A46E60"/>
    <w:rsid w:val="00A47D7C"/>
    <w:rsid w:val="00A501DC"/>
    <w:rsid w:val="00A510BB"/>
    <w:rsid w:val="00A5176E"/>
    <w:rsid w:val="00A51799"/>
    <w:rsid w:val="00A51C6B"/>
    <w:rsid w:val="00A51E1F"/>
    <w:rsid w:val="00A51FB1"/>
    <w:rsid w:val="00A523F4"/>
    <w:rsid w:val="00A5327D"/>
    <w:rsid w:val="00A53B1D"/>
    <w:rsid w:val="00A54092"/>
    <w:rsid w:val="00A54B97"/>
    <w:rsid w:val="00A54FA9"/>
    <w:rsid w:val="00A550B5"/>
    <w:rsid w:val="00A55FE4"/>
    <w:rsid w:val="00A569FD"/>
    <w:rsid w:val="00A56A6C"/>
    <w:rsid w:val="00A576BA"/>
    <w:rsid w:val="00A57BF4"/>
    <w:rsid w:val="00A57D73"/>
    <w:rsid w:val="00A60554"/>
    <w:rsid w:val="00A6087E"/>
    <w:rsid w:val="00A60E57"/>
    <w:rsid w:val="00A6121F"/>
    <w:rsid w:val="00A625D2"/>
    <w:rsid w:val="00A626D1"/>
    <w:rsid w:val="00A627F8"/>
    <w:rsid w:val="00A63005"/>
    <w:rsid w:val="00A633B2"/>
    <w:rsid w:val="00A6347E"/>
    <w:rsid w:val="00A63693"/>
    <w:rsid w:val="00A63B9F"/>
    <w:rsid w:val="00A67130"/>
    <w:rsid w:val="00A708B5"/>
    <w:rsid w:val="00A71268"/>
    <w:rsid w:val="00A71EFD"/>
    <w:rsid w:val="00A72447"/>
    <w:rsid w:val="00A72B37"/>
    <w:rsid w:val="00A73454"/>
    <w:rsid w:val="00A7346D"/>
    <w:rsid w:val="00A73A16"/>
    <w:rsid w:val="00A74912"/>
    <w:rsid w:val="00A75787"/>
    <w:rsid w:val="00A765D7"/>
    <w:rsid w:val="00A77917"/>
    <w:rsid w:val="00A77BF2"/>
    <w:rsid w:val="00A80237"/>
    <w:rsid w:val="00A8045B"/>
    <w:rsid w:val="00A80698"/>
    <w:rsid w:val="00A81C19"/>
    <w:rsid w:val="00A822E9"/>
    <w:rsid w:val="00A822EE"/>
    <w:rsid w:val="00A82568"/>
    <w:rsid w:val="00A8273B"/>
    <w:rsid w:val="00A82A86"/>
    <w:rsid w:val="00A8346A"/>
    <w:rsid w:val="00A83D17"/>
    <w:rsid w:val="00A84A7F"/>
    <w:rsid w:val="00A85CEA"/>
    <w:rsid w:val="00A87AA3"/>
    <w:rsid w:val="00A90CD8"/>
    <w:rsid w:val="00A90DA3"/>
    <w:rsid w:val="00A90F15"/>
    <w:rsid w:val="00A92240"/>
    <w:rsid w:val="00A9341C"/>
    <w:rsid w:val="00A93C74"/>
    <w:rsid w:val="00A940C7"/>
    <w:rsid w:val="00A94752"/>
    <w:rsid w:val="00AA0771"/>
    <w:rsid w:val="00AA1141"/>
    <w:rsid w:val="00AA1370"/>
    <w:rsid w:val="00AA1A4C"/>
    <w:rsid w:val="00AA1ADE"/>
    <w:rsid w:val="00AA1BC2"/>
    <w:rsid w:val="00AA1EFB"/>
    <w:rsid w:val="00AA2E1C"/>
    <w:rsid w:val="00AA3DD4"/>
    <w:rsid w:val="00AA47BE"/>
    <w:rsid w:val="00AA4A81"/>
    <w:rsid w:val="00AA5DDF"/>
    <w:rsid w:val="00AA624A"/>
    <w:rsid w:val="00AA7965"/>
    <w:rsid w:val="00AB02E4"/>
    <w:rsid w:val="00AB055B"/>
    <w:rsid w:val="00AB1A66"/>
    <w:rsid w:val="00AB405C"/>
    <w:rsid w:val="00AB40C4"/>
    <w:rsid w:val="00AB5DAD"/>
    <w:rsid w:val="00AB6692"/>
    <w:rsid w:val="00AC0B66"/>
    <w:rsid w:val="00AC3425"/>
    <w:rsid w:val="00AC40F4"/>
    <w:rsid w:val="00AC658A"/>
    <w:rsid w:val="00AC6B1F"/>
    <w:rsid w:val="00AC6F58"/>
    <w:rsid w:val="00AC7675"/>
    <w:rsid w:val="00AD0C26"/>
    <w:rsid w:val="00AD19F4"/>
    <w:rsid w:val="00AD2A69"/>
    <w:rsid w:val="00AD2BE2"/>
    <w:rsid w:val="00AD2D86"/>
    <w:rsid w:val="00AD3760"/>
    <w:rsid w:val="00AD37E0"/>
    <w:rsid w:val="00AD3C4C"/>
    <w:rsid w:val="00AD3FFE"/>
    <w:rsid w:val="00AD42A1"/>
    <w:rsid w:val="00AD4746"/>
    <w:rsid w:val="00AD5943"/>
    <w:rsid w:val="00AD6CA4"/>
    <w:rsid w:val="00AD710B"/>
    <w:rsid w:val="00AE1026"/>
    <w:rsid w:val="00AE1722"/>
    <w:rsid w:val="00AE18C6"/>
    <w:rsid w:val="00AE1F80"/>
    <w:rsid w:val="00AE2206"/>
    <w:rsid w:val="00AE2AFA"/>
    <w:rsid w:val="00AE2BF6"/>
    <w:rsid w:val="00AE3297"/>
    <w:rsid w:val="00AE53CA"/>
    <w:rsid w:val="00AE5742"/>
    <w:rsid w:val="00AE5AB8"/>
    <w:rsid w:val="00AE5BC6"/>
    <w:rsid w:val="00AE67D4"/>
    <w:rsid w:val="00AE6F52"/>
    <w:rsid w:val="00AE71B6"/>
    <w:rsid w:val="00AE78EF"/>
    <w:rsid w:val="00AF0743"/>
    <w:rsid w:val="00AF0E9B"/>
    <w:rsid w:val="00AF0F1B"/>
    <w:rsid w:val="00AF12D0"/>
    <w:rsid w:val="00AF21F3"/>
    <w:rsid w:val="00AF220F"/>
    <w:rsid w:val="00AF2F09"/>
    <w:rsid w:val="00AF4408"/>
    <w:rsid w:val="00AF4655"/>
    <w:rsid w:val="00AF547D"/>
    <w:rsid w:val="00AF67C2"/>
    <w:rsid w:val="00AF6C01"/>
    <w:rsid w:val="00B00101"/>
    <w:rsid w:val="00B00C08"/>
    <w:rsid w:val="00B0289B"/>
    <w:rsid w:val="00B0319F"/>
    <w:rsid w:val="00B032CC"/>
    <w:rsid w:val="00B034F5"/>
    <w:rsid w:val="00B05448"/>
    <w:rsid w:val="00B065EA"/>
    <w:rsid w:val="00B06652"/>
    <w:rsid w:val="00B07439"/>
    <w:rsid w:val="00B11790"/>
    <w:rsid w:val="00B1180D"/>
    <w:rsid w:val="00B124C1"/>
    <w:rsid w:val="00B12B77"/>
    <w:rsid w:val="00B12F9E"/>
    <w:rsid w:val="00B130A0"/>
    <w:rsid w:val="00B1311B"/>
    <w:rsid w:val="00B1448A"/>
    <w:rsid w:val="00B14BA8"/>
    <w:rsid w:val="00B14CC1"/>
    <w:rsid w:val="00B15872"/>
    <w:rsid w:val="00B15C73"/>
    <w:rsid w:val="00B15FDF"/>
    <w:rsid w:val="00B1682C"/>
    <w:rsid w:val="00B20714"/>
    <w:rsid w:val="00B2085A"/>
    <w:rsid w:val="00B21860"/>
    <w:rsid w:val="00B220E6"/>
    <w:rsid w:val="00B252BF"/>
    <w:rsid w:val="00B25313"/>
    <w:rsid w:val="00B257E9"/>
    <w:rsid w:val="00B2645E"/>
    <w:rsid w:val="00B273C8"/>
    <w:rsid w:val="00B301C2"/>
    <w:rsid w:val="00B302CD"/>
    <w:rsid w:val="00B3054F"/>
    <w:rsid w:val="00B30563"/>
    <w:rsid w:val="00B306F5"/>
    <w:rsid w:val="00B31234"/>
    <w:rsid w:val="00B32FAB"/>
    <w:rsid w:val="00B334F9"/>
    <w:rsid w:val="00B3392B"/>
    <w:rsid w:val="00B33CC7"/>
    <w:rsid w:val="00B345F0"/>
    <w:rsid w:val="00B36A0D"/>
    <w:rsid w:val="00B378B5"/>
    <w:rsid w:val="00B40B78"/>
    <w:rsid w:val="00B429BB"/>
    <w:rsid w:val="00B42C7F"/>
    <w:rsid w:val="00B42FD6"/>
    <w:rsid w:val="00B431B0"/>
    <w:rsid w:val="00B438AB"/>
    <w:rsid w:val="00B446BB"/>
    <w:rsid w:val="00B45E7C"/>
    <w:rsid w:val="00B47A71"/>
    <w:rsid w:val="00B47DF3"/>
    <w:rsid w:val="00B50E2D"/>
    <w:rsid w:val="00B53713"/>
    <w:rsid w:val="00B541C6"/>
    <w:rsid w:val="00B54CF2"/>
    <w:rsid w:val="00B551A6"/>
    <w:rsid w:val="00B55F73"/>
    <w:rsid w:val="00B56B68"/>
    <w:rsid w:val="00B5727E"/>
    <w:rsid w:val="00B5751F"/>
    <w:rsid w:val="00B60DB4"/>
    <w:rsid w:val="00B63CB4"/>
    <w:rsid w:val="00B63EE3"/>
    <w:rsid w:val="00B66444"/>
    <w:rsid w:val="00B67E74"/>
    <w:rsid w:val="00B7053F"/>
    <w:rsid w:val="00B72949"/>
    <w:rsid w:val="00B72DB1"/>
    <w:rsid w:val="00B73203"/>
    <w:rsid w:val="00B7323A"/>
    <w:rsid w:val="00B756CF"/>
    <w:rsid w:val="00B75731"/>
    <w:rsid w:val="00B77264"/>
    <w:rsid w:val="00B80189"/>
    <w:rsid w:val="00B801E3"/>
    <w:rsid w:val="00B80429"/>
    <w:rsid w:val="00B805A1"/>
    <w:rsid w:val="00B80C80"/>
    <w:rsid w:val="00B82EBB"/>
    <w:rsid w:val="00B8604D"/>
    <w:rsid w:val="00B87D6A"/>
    <w:rsid w:val="00B90205"/>
    <w:rsid w:val="00B940CA"/>
    <w:rsid w:val="00B940F8"/>
    <w:rsid w:val="00B9479E"/>
    <w:rsid w:val="00B95F99"/>
    <w:rsid w:val="00B95FB4"/>
    <w:rsid w:val="00BA073C"/>
    <w:rsid w:val="00BA12A7"/>
    <w:rsid w:val="00BA27B8"/>
    <w:rsid w:val="00BA2D8D"/>
    <w:rsid w:val="00BA3667"/>
    <w:rsid w:val="00BA4E9E"/>
    <w:rsid w:val="00BA5606"/>
    <w:rsid w:val="00BA5AA3"/>
    <w:rsid w:val="00BA6C2C"/>
    <w:rsid w:val="00BB0F70"/>
    <w:rsid w:val="00BB514A"/>
    <w:rsid w:val="00BB5950"/>
    <w:rsid w:val="00BB5E1A"/>
    <w:rsid w:val="00BB6456"/>
    <w:rsid w:val="00BB6B7D"/>
    <w:rsid w:val="00BB7872"/>
    <w:rsid w:val="00BC0BF7"/>
    <w:rsid w:val="00BC1342"/>
    <w:rsid w:val="00BC214C"/>
    <w:rsid w:val="00BC2528"/>
    <w:rsid w:val="00BC482F"/>
    <w:rsid w:val="00BC4CF8"/>
    <w:rsid w:val="00BC6B4F"/>
    <w:rsid w:val="00BC6BD7"/>
    <w:rsid w:val="00BC7736"/>
    <w:rsid w:val="00BD1700"/>
    <w:rsid w:val="00BD19C9"/>
    <w:rsid w:val="00BD21BA"/>
    <w:rsid w:val="00BD2331"/>
    <w:rsid w:val="00BD25D3"/>
    <w:rsid w:val="00BD269E"/>
    <w:rsid w:val="00BD2E2A"/>
    <w:rsid w:val="00BD49BB"/>
    <w:rsid w:val="00BD4C04"/>
    <w:rsid w:val="00BD4DC0"/>
    <w:rsid w:val="00BD54AC"/>
    <w:rsid w:val="00BD5F0F"/>
    <w:rsid w:val="00BD6859"/>
    <w:rsid w:val="00BD762D"/>
    <w:rsid w:val="00BD7ABD"/>
    <w:rsid w:val="00BD7F0B"/>
    <w:rsid w:val="00BE0DEA"/>
    <w:rsid w:val="00BE0E2B"/>
    <w:rsid w:val="00BE24B4"/>
    <w:rsid w:val="00BE348F"/>
    <w:rsid w:val="00BE3E29"/>
    <w:rsid w:val="00BE49A0"/>
    <w:rsid w:val="00BE4DBE"/>
    <w:rsid w:val="00BE5177"/>
    <w:rsid w:val="00BE6C72"/>
    <w:rsid w:val="00BF087A"/>
    <w:rsid w:val="00BF08A4"/>
    <w:rsid w:val="00BF1BFB"/>
    <w:rsid w:val="00BF29B0"/>
    <w:rsid w:val="00BF2C80"/>
    <w:rsid w:val="00BF2F87"/>
    <w:rsid w:val="00BF30F1"/>
    <w:rsid w:val="00BF3426"/>
    <w:rsid w:val="00BF3767"/>
    <w:rsid w:val="00BF3790"/>
    <w:rsid w:val="00BF390A"/>
    <w:rsid w:val="00BF72A0"/>
    <w:rsid w:val="00BF777E"/>
    <w:rsid w:val="00BF7DE4"/>
    <w:rsid w:val="00BF7E45"/>
    <w:rsid w:val="00C032AC"/>
    <w:rsid w:val="00C043DA"/>
    <w:rsid w:val="00C05067"/>
    <w:rsid w:val="00C057C9"/>
    <w:rsid w:val="00C05C2C"/>
    <w:rsid w:val="00C0712B"/>
    <w:rsid w:val="00C072D3"/>
    <w:rsid w:val="00C07A5E"/>
    <w:rsid w:val="00C10F6D"/>
    <w:rsid w:val="00C11DBD"/>
    <w:rsid w:val="00C11F79"/>
    <w:rsid w:val="00C126D8"/>
    <w:rsid w:val="00C13564"/>
    <w:rsid w:val="00C13CD3"/>
    <w:rsid w:val="00C13DC2"/>
    <w:rsid w:val="00C13F99"/>
    <w:rsid w:val="00C1481C"/>
    <w:rsid w:val="00C15CC8"/>
    <w:rsid w:val="00C16137"/>
    <w:rsid w:val="00C171CE"/>
    <w:rsid w:val="00C21AD8"/>
    <w:rsid w:val="00C22132"/>
    <w:rsid w:val="00C221B7"/>
    <w:rsid w:val="00C237A8"/>
    <w:rsid w:val="00C23C2C"/>
    <w:rsid w:val="00C24447"/>
    <w:rsid w:val="00C2446A"/>
    <w:rsid w:val="00C24742"/>
    <w:rsid w:val="00C24B94"/>
    <w:rsid w:val="00C24F48"/>
    <w:rsid w:val="00C265FA"/>
    <w:rsid w:val="00C267CD"/>
    <w:rsid w:val="00C27767"/>
    <w:rsid w:val="00C32357"/>
    <w:rsid w:val="00C32656"/>
    <w:rsid w:val="00C3294C"/>
    <w:rsid w:val="00C32B72"/>
    <w:rsid w:val="00C33BC4"/>
    <w:rsid w:val="00C33C84"/>
    <w:rsid w:val="00C3424B"/>
    <w:rsid w:val="00C35B3F"/>
    <w:rsid w:val="00C35BE6"/>
    <w:rsid w:val="00C36C64"/>
    <w:rsid w:val="00C374C4"/>
    <w:rsid w:val="00C378A7"/>
    <w:rsid w:val="00C37FE0"/>
    <w:rsid w:val="00C405AE"/>
    <w:rsid w:val="00C4076D"/>
    <w:rsid w:val="00C40F69"/>
    <w:rsid w:val="00C41016"/>
    <w:rsid w:val="00C41277"/>
    <w:rsid w:val="00C41860"/>
    <w:rsid w:val="00C42DC4"/>
    <w:rsid w:val="00C4483F"/>
    <w:rsid w:val="00C508AB"/>
    <w:rsid w:val="00C50B67"/>
    <w:rsid w:val="00C52E8D"/>
    <w:rsid w:val="00C53014"/>
    <w:rsid w:val="00C53A91"/>
    <w:rsid w:val="00C5642D"/>
    <w:rsid w:val="00C56E34"/>
    <w:rsid w:val="00C5784D"/>
    <w:rsid w:val="00C57CEF"/>
    <w:rsid w:val="00C60232"/>
    <w:rsid w:val="00C61CCF"/>
    <w:rsid w:val="00C61F80"/>
    <w:rsid w:val="00C621A7"/>
    <w:rsid w:val="00C62269"/>
    <w:rsid w:val="00C6268B"/>
    <w:rsid w:val="00C65093"/>
    <w:rsid w:val="00C65541"/>
    <w:rsid w:val="00C660F1"/>
    <w:rsid w:val="00C663A6"/>
    <w:rsid w:val="00C669E3"/>
    <w:rsid w:val="00C67512"/>
    <w:rsid w:val="00C67E20"/>
    <w:rsid w:val="00C70434"/>
    <w:rsid w:val="00C70C06"/>
    <w:rsid w:val="00C71E71"/>
    <w:rsid w:val="00C71F5D"/>
    <w:rsid w:val="00C725B4"/>
    <w:rsid w:val="00C73064"/>
    <w:rsid w:val="00C7317B"/>
    <w:rsid w:val="00C733DF"/>
    <w:rsid w:val="00C73934"/>
    <w:rsid w:val="00C73E8E"/>
    <w:rsid w:val="00C7492D"/>
    <w:rsid w:val="00C74C84"/>
    <w:rsid w:val="00C80178"/>
    <w:rsid w:val="00C80D52"/>
    <w:rsid w:val="00C81511"/>
    <w:rsid w:val="00C81B73"/>
    <w:rsid w:val="00C81F9E"/>
    <w:rsid w:val="00C8287A"/>
    <w:rsid w:val="00C834B0"/>
    <w:rsid w:val="00C83944"/>
    <w:rsid w:val="00C84E98"/>
    <w:rsid w:val="00C856FC"/>
    <w:rsid w:val="00C85780"/>
    <w:rsid w:val="00C865DC"/>
    <w:rsid w:val="00C8737F"/>
    <w:rsid w:val="00C874B6"/>
    <w:rsid w:val="00C8763E"/>
    <w:rsid w:val="00C877C9"/>
    <w:rsid w:val="00C90942"/>
    <w:rsid w:val="00C91306"/>
    <w:rsid w:val="00C92672"/>
    <w:rsid w:val="00C929E7"/>
    <w:rsid w:val="00C933D5"/>
    <w:rsid w:val="00C9451F"/>
    <w:rsid w:val="00C95402"/>
    <w:rsid w:val="00C95C98"/>
    <w:rsid w:val="00C972DA"/>
    <w:rsid w:val="00C97EEF"/>
    <w:rsid w:val="00CA11ED"/>
    <w:rsid w:val="00CA23F7"/>
    <w:rsid w:val="00CA30BA"/>
    <w:rsid w:val="00CA3D30"/>
    <w:rsid w:val="00CA4B8A"/>
    <w:rsid w:val="00CA5089"/>
    <w:rsid w:val="00CA55AA"/>
    <w:rsid w:val="00CA6F64"/>
    <w:rsid w:val="00CA75D4"/>
    <w:rsid w:val="00CB2354"/>
    <w:rsid w:val="00CB4B87"/>
    <w:rsid w:val="00CB6091"/>
    <w:rsid w:val="00CB6343"/>
    <w:rsid w:val="00CB6373"/>
    <w:rsid w:val="00CB66CA"/>
    <w:rsid w:val="00CB6775"/>
    <w:rsid w:val="00CB6CA2"/>
    <w:rsid w:val="00CB78ED"/>
    <w:rsid w:val="00CC0F1C"/>
    <w:rsid w:val="00CC226E"/>
    <w:rsid w:val="00CC2924"/>
    <w:rsid w:val="00CC29A5"/>
    <w:rsid w:val="00CC329C"/>
    <w:rsid w:val="00CC4A8C"/>
    <w:rsid w:val="00CC5231"/>
    <w:rsid w:val="00CC5E3D"/>
    <w:rsid w:val="00CC68AC"/>
    <w:rsid w:val="00CC7C2F"/>
    <w:rsid w:val="00CC7D49"/>
    <w:rsid w:val="00CD19C7"/>
    <w:rsid w:val="00CD3789"/>
    <w:rsid w:val="00CD54E4"/>
    <w:rsid w:val="00CD6992"/>
    <w:rsid w:val="00CD7235"/>
    <w:rsid w:val="00CE02A8"/>
    <w:rsid w:val="00CE0F1D"/>
    <w:rsid w:val="00CE43D9"/>
    <w:rsid w:val="00CE4BB9"/>
    <w:rsid w:val="00CE538D"/>
    <w:rsid w:val="00CE5C42"/>
    <w:rsid w:val="00CE6192"/>
    <w:rsid w:val="00CE64F3"/>
    <w:rsid w:val="00CE66A6"/>
    <w:rsid w:val="00CE7166"/>
    <w:rsid w:val="00CF0E31"/>
    <w:rsid w:val="00CF25ED"/>
    <w:rsid w:val="00CF25EE"/>
    <w:rsid w:val="00CF2AB3"/>
    <w:rsid w:val="00CF2D97"/>
    <w:rsid w:val="00CF307D"/>
    <w:rsid w:val="00CF3B34"/>
    <w:rsid w:val="00CF4189"/>
    <w:rsid w:val="00CF4254"/>
    <w:rsid w:val="00CF476D"/>
    <w:rsid w:val="00CF775A"/>
    <w:rsid w:val="00D00841"/>
    <w:rsid w:val="00D018D7"/>
    <w:rsid w:val="00D01B77"/>
    <w:rsid w:val="00D0279B"/>
    <w:rsid w:val="00D028E5"/>
    <w:rsid w:val="00D031A8"/>
    <w:rsid w:val="00D035FA"/>
    <w:rsid w:val="00D04A36"/>
    <w:rsid w:val="00D055E2"/>
    <w:rsid w:val="00D06F64"/>
    <w:rsid w:val="00D075F3"/>
    <w:rsid w:val="00D07664"/>
    <w:rsid w:val="00D11F06"/>
    <w:rsid w:val="00D122EA"/>
    <w:rsid w:val="00D12BD7"/>
    <w:rsid w:val="00D12C50"/>
    <w:rsid w:val="00D133D7"/>
    <w:rsid w:val="00D20585"/>
    <w:rsid w:val="00D2192C"/>
    <w:rsid w:val="00D2288C"/>
    <w:rsid w:val="00D22F71"/>
    <w:rsid w:val="00D24FF6"/>
    <w:rsid w:val="00D25DFD"/>
    <w:rsid w:val="00D26417"/>
    <w:rsid w:val="00D26C03"/>
    <w:rsid w:val="00D27B5D"/>
    <w:rsid w:val="00D30841"/>
    <w:rsid w:val="00D3099A"/>
    <w:rsid w:val="00D30A84"/>
    <w:rsid w:val="00D318EF"/>
    <w:rsid w:val="00D31D0E"/>
    <w:rsid w:val="00D32A04"/>
    <w:rsid w:val="00D34484"/>
    <w:rsid w:val="00D36860"/>
    <w:rsid w:val="00D36EA9"/>
    <w:rsid w:val="00D404CA"/>
    <w:rsid w:val="00D40981"/>
    <w:rsid w:val="00D41150"/>
    <w:rsid w:val="00D41B05"/>
    <w:rsid w:val="00D4241E"/>
    <w:rsid w:val="00D435D5"/>
    <w:rsid w:val="00D44173"/>
    <w:rsid w:val="00D4444A"/>
    <w:rsid w:val="00D44556"/>
    <w:rsid w:val="00D447F4"/>
    <w:rsid w:val="00D4522B"/>
    <w:rsid w:val="00D45283"/>
    <w:rsid w:val="00D45F97"/>
    <w:rsid w:val="00D45FCF"/>
    <w:rsid w:val="00D4634A"/>
    <w:rsid w:val="00D463E9"/>
    <w:rsid w:val="00D477B3"/>
    <w:rsid w:val="00D52012"/>
    <w:rsid w:val="00D527D3"/>
    <w:rsid w:val="00D52A6C"/>
    <w:rsid w:val="00D52F5C"/>
    <w:rsid w:val="00D5374C"/>
    <w:rsid w:val="00D53B8A"/>
    <w:rsid w:val="00D5478D"/>
    <w:rsid w:val="00D547B9"/>
    <w:rsid w:val="00D54ECA"/>
    <w:rsid w:val="00D551DC"/>
    <w:rsid w:val="00D6014F"/>
    <w:rsid w:val="00D606D5"/>
    <w:rsid w:val="00D608B6"/>
    <w:rsid w:val="00D61016"/>
    <w:rsid w:val="00D61279"/>
    <w:rsid w:val="00D62046"/>
    <w:rsid w:val="00D620F5"/>
    <w:rsid w:val="00D645E7"/>
    <w:rsid w:val="00D646F6"/>
    <w:rsid w:val="00D64F5B"/>
    <w:rsid w:val="00D659DA"/>
    <w:rsid w:val="00D66752"/>
    <w:rsid w:val="00D66B9C"/>
    <w:rsid w:val="00D677BB"/>
    <w:rsid w:val="00D70546"/>
    <w:rsid w:val="00D71625"/>
    <w:rsid w:val="00D71DF6"/>
    <w:rsid w:val="00D72E53"/>
    <w:rsid w:val="00D7348E"/>
    <w:rsid w:val="00D73812"/>
    <w:rsid w:val="00D74E19"/>
    <w:rsid w:val="00D770CE"/>
    <w:rsid w:val="00D770F4"/>
    <w:rsid w:val="00D77478"/>
    <w:rsid w:val="00D77CA6"/>
    <w:rsid w:val="00D80427"/>
    <w:rsid w:val="00D824DD"/>
    <w:rsid w:val="00D82626"/>
    <w:rsid w:val="00D83037"/>
    <w:rsid w:val="00D837BA"/>
    <w:rsid w:val="00D838B0"/>
    <w:rsid w:val="00D85151"/>
    <w:rsid w:val="00D8580C"/>
    <w:rsid w:val="00D86774"/>
    <w:rsid w:val="00D86AFB"/>
    <w:rsid w:val="00D90B49"/>
    <w:rsid w:val="00D911E7"/>
    <w:rsid w:val="00D91978"/>
    <w:rsid w:val="00D91D8A"/>
    <w:rsid w:val="00D92124"/>
    <w:rsid w:val="00D94731"/>
    <w:rsid w:val="00D94947"/>
    <w:rsid w:val="00D94A63"/>
    <w:rsid w:val="00D95880"/>
    <w:rsid w:val="00D962A1"/>
    <w:rsid w:val="00DA01B1"/>
    <w:rsid w:val="00DA0A4F"/>
    <w:rsid w:val="00DA0B80"/>
    <w:rsid w:val="00DA0F92"/>
    <w:rsid w:val="00DA125C"/>
    <w:rsid w:val="00DA19E6"/>
    <w:rsid w:val="00DA1EC8"/>
    <w:rsid w:val="00DA22FC"/>
    <w:rsid w:val="00DA2781"/>
    <w:rsid w:val="00DA2969"/>
    <w:rsid w:val="00DA3675"/>
    <w:rsid w:val="00DA3CB5"/>
    <w:rsid w:val="00DA440F"/>
    <w:rsid w:val="00DA4658"/>
    <w:rsid w:val="00DA4EC1"/>
    <w:rsid w:val="00DA5EF2"/>
    <w:rsid w:val="00DA6509"/>
    <w:rsid w:val="00DA66F9"/>
    <w:rsid w:val="00DA6926"/>
    <w:rsid w:val="00DB084D"/>
    <w:rsid w:val="00DB0C9C"/>
    <w:rsid w:val="00DB24BC"/>
    <w:rsid w:val="00DB3DE8"/>
    <w:rsid w:val="00DB43FF"/>
    <w:rsid w:val="00DB4EF7"/>
    <w:rsid w:val="00DB5AC1"/>
    <w:rsid w:val="00DB71A5"/>
    <w:rsid w:val="00DB7392"/>
    <w:rsid w:val="00DB795B"/>
    <w:rsid w:val="00DC02BF"/>
    <w:rsid w:val="00DC0391"/>
    <w:rsid w:val="00DC0A5D"/>
    <w:rsid w:val="00DC1694"/>
    <w:rsid w:val="00DC16FB"/>
    <w:rsid w:val="00DC200B"/>
    <w:rsid w:val="00DC22BD"/>
    <w:rsid w:val="00DC451A"/>
    <w:rsid w:val="00DC56CE"/>
    <w:rsid w:val="00DC5A1F"/>
    <w:rsid w:val="00DC5DEF"/>
    <w:rsid w:val="00DC625D"/>
    <w:rsid w:val="00DC6271"/>
    <w:rsid w:val="00DC7C03"/>
    <w:rsid w:val="00DD0154"/>
    <w:rsid w:val="00DD16E5"/>
    <w:rsid w:val="00DD26C5"/>
    <w:rsid w:val="00DD2DEE"/>
    <w:rsid w:val="00DD31B0"/>
    <w:rsid w:val="00DD4F22"/>
    <w:rsid w:val="00DD5402"/>
    <w:rsid w:val="00DD6B26"/>
    <w:rsid w:val="00DD6B72"/>
    <w:rsid w:val="00DD727F"/>
    <w:rsid w:val="00DE0819"/>
    <w:rsid w:val="00DE2823"/>
    <w:rsid w:val="00DE30BF"/>
    <w:rsid w:val="00DE36F8"/>
    <w:rsid w:val="00DE4B5C"/>
    <w:rsid w:val="00DE5F6C"/>
    <w:rsid w:val="00DE6335"/>
    <w:rsid w:val="00DE653A"/>
    <w:rsid w:val="00DE674C"/>
    <w:rsid w:val="00DE6AD8"/>
    <w:rsid w:val="00DE7215"/>
    <w:rsid w:val="00DE730A"/>
    <w:rsid w:val="00DE7902"/>
    <w:rsid w:val="00DF039A"/>
    <w:rsid w:val="00DF134A"/>
    <w:rsid w:val="00DF3DF4"/>
    <w:rsid w:val="00DF4634"/>
    <w:rsid w:val="00DF564F"/>
    <w:rsid w:val="00DF5EF7"/>
    <w:rsid w:val="00DF75B1"/>
    <w:rsid w:val="00DF7DAF"/>
    <w:rsid w:val="00E002AE"/>
    <w:rsid w:val="00E02E78"/>
    <w:rsid w:val="00E04654"/>
    <w:rsid w:val="00E04CF0"/>
    <w:rsid w:val="00E05F58"/>
    <w:rsid w:val="00E0642B"/>
    <w:rsid w:val="00E10C2A"/>
    <w:rsid w:val="00E12339"/>
    <w:rsid w:val="00E126BE"/>
    <w:rsid w:val="00E13435"/>
    <w:rsid w:val="00E149D8"/>
    <w:rsid w:val="00E15A6D"/>
    <w:rsid w:val="00E16FA7"/>
    <w:rsid w:val="00E17CE4"/>
    <w:rsid w:val="00E20134"/>
    <w:rsid w:val="00E20E87"/>
    <w:rsid w:val="00E211BD"/>
    <w:rsid w:val="00E21DA1"/>
    <w:rsid w:val="00E23D72"/>
    <w:rsid w:val="00E25068"/>
    <w:rsid w:val="00E25B8E"/>
    <w:rsid w:val="00E25EB2"/>
    <w:rsid w:val="00E26058"/>
    <w:rsid w:val="00E2628E"/>
    <w:rsid w:val="00E2663C"/>
    <w:rsid w:val="00E30404"/>
    <w:rsid w:val="00E30992"/>
    <w:rsid w:val="00E313E9"/>
    <w:rsid w:val="00E31E61"/>
    <w:rsid w:val="00E3357B"/>
    <w:rsid w:val="00E33DE7"/>
    <w:rsid w:val="00E344C4"/>
    <w:rsid w:val="00E348D0"/>
    <w:rsid w:val="00E359AA"/>
    <w:rsid w:val="00E35E4E"/>
    <w:rsid w:val="00E3611A"/>
    <w:rsid w:val="00E372A1"/>
    <w:rsid w:val="00E37D51"/>
    <w:rsid w:val="00E37F3F"/>
    <w:rsid w:val="00E40EDE"/>
    <w:rsid w:val="00E42316"/>
    <w:rsid w:val="00E4381C"/>
    <w:rsid w:val="00E43933"/>
    <w:rsid w:val="00E44F96"/>
    <w:rsid w:val="00E45D3B"/>
    <w:rsid w:val="00E46556"/>
    <w:rsid w:val="00E46B55"/>
    <w:rsid w:val="00E4707F"/>
    <w:rsid w:val="00E4713F"/>
    <w:rsid w:val="00E4753F"/>
    <w:rsid w:val="00E47A8A"/>
    <w:rsid w:val="00E51110"/>
    <w:rsid w:val="00E51FE2"/>
    <w:rsid w:val="00E52F33"/>
    <w:rsid w:val="00E53C07"/>
    <w:rsid w:val="00E54739"/>
    <w:rsid w:val="00E54A3B"/>
    <w:rsid w:val="00E56C15"/>
    <w:rsid w:val="00E578DC"/>
    <w:rsid w:val="00E60AB1"/>
    <w:rsid w:val="00E60D88"/>
    <w:rsid w:val="00E6104B"/>
    <w:rsid w:val="00E61547"/>
    <w:rsid w:val="00E617E4"/>
    <w:rsid w:val="00E61A4A"/>
    <w:rsid w:val="00E63277"/>
    <w:rsid w:val="00E64455"/>
    <w:rsid w:val="00E64842"/>
    <w:rsid w:val="00E65BD9"/>
    <w:rsid w:val="00E65F39"/>
    <w:rsid w:val="00E660CE"/>
    <w:rsid w:val="00E6615F"/>
    <w:rsid w:val="00E662E0"/>
    <w:rsid w:val="00E6678D"/>
    <w:rsid w:val="00E6776B"/>
    <w:rsid w:val="00E705A1"/>
    <w:rsid w:val="00E734E5"/>
    <w:rsid w:val="00E74B0D"/>
    <w:rsid w:val="00E752CC"/>
    <w:rsid w:val="00E77083"/>
    <w:rsid w:val="00E77A62"/>
    <w:rsid w:val="00E80EB2"/>
    <w:rsid w:val="00E81974"/>
    <w:rsid w:val="00E8205F"/>
    <w:rsid w:val="00E825C7"/>
    <w:rsid w:val="00E8305B"/>
    <w:rsid w:val="00E8354E"/>
    <w:rsid w:val="00E83901"/>
    <w:rsid w:val="00E83CCA"/>
    <w:rsid w:val="00E83EDD"/>
    <w:rsid w:val="00E84064"/>
    <w:rsid w:val="00E85135"/>
    <w:rsid w:val="00E85353"/>
    <w:rsid w:val="00E858F0"/>
    <w:rsid w:val="00E86580"/>
    <w:rsid w:val="00E8782A"/>
    <w:rsid w:val="00E87AEA"/>
    <w:rsid w:val="00E87B25"/>
    <w:rsid w:val="00E90274"/>
    <w:rsid w:val="00E9125B"/>
    <w:rsid w:val="00E91955"/>
    <w:rsid w:val="00E93AFE"/>
    <w:rsid w:val="00E93EF5"/>
    <w:rsid w:val="00E94307"/>
    <w:rsid w:val="00E95326"/>
    <w:rsid w:val="00E957DB"/>
    <w:rsid w:val="00E96AA0"/>
    <w:rsid w:val="00E97840"/>
    <w:rsid w:val="00E97964"/>
    <w:rsid w:val="00E97DC2"/>
    <w:rsid w:val="00E97E29"/>
    <w:rsid w:val="00EA0AE0"/>
    <w:rsid w:val="00EA1035"/>
    <w:rsid w:val="00EA210B"/>
    <w:rsid w:val="00EA3378"/>
    <w:rsid w:val="00EA3B28"/>
    <w:rsid w:val="00EA4F90"/>
    <w:rsid w:val="00EA5214"/>
    <w:rsid w:val="00EA6160"/>
    <w:rsid w:val="00EA6456"/>
    <w:rsid w:val="00EA68DD"/>
    <w:rsid w:val="00EA6D3F"/>
    <w:rsid w:val="00EA738A"/>
    <w:rsid w:val="00EA763F"/>
    <w:rsid w:val="00EB05BB"/>
    <w:rsid w:val="00EB1190"/>
    <w:rsid w:val="00EB1A49"/>
    <w:rsid w:val="00EB228C"/>
    <w:rsid w:val="00EB239A"/>
    <w:rsid w:val="00EB27E7"/>
    <w:rsid w:val="00EB299A"/>
    <w:rsid w:val="00EB581E"/>
    <w:rsid w:val="00EB6192"/>
    <w:rsid w:val="00EB701F"/>
    <w:rsid w:val="00EC05CA"/>
    <w:rsid w:val="00EC120A"/>
    <w:rsid w:val="00EC15F1"/>
    <w:rsid w:val="00EC170B"/>
    <w:rsid w:val="00EC3B99"/>
    <w:rsid w:val="00EC42D5"/>
    <w:rsid w:val="00EC48E9"/>
    <w:rsid w:val="00EC4FCF"/>
    <w:rsid w:val="00EC5432"/>
    <w:rsid w:val="00EC62C9"/>
    <w:rsid w:val="00EC66D9"/>
    <w:rsid w:val="00EC72FC"/>
    <w:rsid w:val="00ED0420"/>
    <w:rsid w:val="00ED08FF"/>
    <w:rsid w:val="00ED17D7"/>
    <w:rsid w:val="00ED1994"/>
    <w:rsid w:val="00ED19F6"/>
    <w:rsid w:val="00ED279E"/>
    <w:rsid w:val="00ED3458"/>
    <w:rsid w:val="00ED466C"/>
    <w:rsid w:val="00ED51E5"/>
    <w:rsid w:val="00ED5B75"/>
    <w:rsid w:val="00ED6C6D"/>
    <w:rsid w:val="00ED6D14"/>
    <w:rsid w:val="00ED7BFF"/>
    <w:rsid w:val="00ED7C2B"/>
    <w:rsid w:val="00EE2110"/>
    <w:rsid w:val="00EE259E"/>
    <w:rsid w:val="00EE3BFE"/>
    <w:rsid w:val="00EE4B86"/>
    <w:rsid w:val="00EE6286"/>
    <w:rsid w:val="00EE74E8"/>
    <w:rsid w:val="00EE77A5"/>
    <w:rsid w:val="00EF33F2"/>
    <w:rsid w:val="00EF39A1"/>
    <w:rsid w:val="00EF62E6"/>
    <w:rsid w:val="00EF799B"/>
    <w:rsid w:val="00F00EEA"/>
    <w:rsid w:val="00F01A6E"/>
    <w:rsid w:val="00F01AEA"/>
    <w:rsid w:val="00F01F42"/>
    <w:rsid w:val="00F01FEC"/>
    <w:rsid w:val="00F0232B"/>
    <w:rsid w:val="00F024A8"/>
    <w:rsid w:val="00F030CD"/>
    <w:rsid w:val="00F04729"/>
    <w:rsid w:val="00F05E56"/>
    <w:rsid w:val="00F06257"/>
    <w:rsid w:val="00F10043"/>
    <w:rsid w:val="00F10A33"/>
    <w:rsid w:val="00F11401"/>
    <w:rsid w:val="00F116AC"/>
    <w:rsid w:val="00F11E74"/>
    <w:rsid w:val="00F12B1E"/>
    <w:rsid w:val="00F12B4B"/>
    <w:rsid w:val="00F14297"/>
    <w:rsid w:val="00F165E7"/>
    <w:rsid w:val="00F16D16"/>
    <w:rsid w:val="00F17115"/>
    <w:rsid w:val="00F17233"/>
    <w:rsid w:val="00F17AD1"/>
    <w:rsid w:val="00F2150D"/>
    <w:rsid w:val="00F22AA5"/>
    <w:rsid w:val="00F22DE3"/>
    <w:rsid w:val="00F22E73"/>
    <w:rsid w:val="00F23F9B"/>
    <w:rsid w:val="00F2469D"/>
    <w:rsid w:val="00F24BAB"/>
    <w:rsid w:val="00F24E0E"/>
    <w:rsid w:val="00F25753"/>
    <w:rsid w:val="00F26C8F"/>
    <w:rsid w:val="00F27252"/>
    <w:rsid w:val="00F2733C"/>
    <w:rsid w:val="00F30DED"/>
    <w:rsid w:val="00F30EE6"/>
    <w:rsid w:val="00F331CF"/>
    <w:rsid w:val="00F3332F"/>
    <w:rsid w:val="00F334AE"/>
    <w:rsid w:val="00F33BD9"/>
    <w:rsid w:val="00F36683"/>
    <w:rsid w:val="00F36B50"/>
    <w:rsid w:val="00F37843"/>
    <w:rsid w:val="00F4095C"/>
    <w:rsid w:val="00F40EBF"/>
    <w:rsid w:val="00F412D0"/>
    <w:rsid w:val="00F41791"/>
    <w:rsid w:val="00F4196B"/>
    <w:rsid w:val="00F419DF"/>
    <w:rsid w:val="00F41C54"/>
    <w:rsid w:val="00F42B80"/>
    <w:rsid w:val="00F43DE8"/>
    <w:rsid w:val="00F43EA9"/>
    <w:rsid w:val="00F440FF"/>
    <w:rsid w:val="00F44E92"/>
    <w:rsid w:val="00F45F65"/>
    <w:rsid w:val="00F46477"/>
    <w:rsid w:val="00F47B9D"/>
    <w:rsid w:val="00F506B5"/>
    <w:rsid w:val="00F50DD6"/>
    <w:rsid w:val="00F527A1"/>
    <w:rsid w:val="00F52BE8"/>
    <w:rsid w:val="00F52EC7"/>
    <w:rsid w:val="00F53B60"/>
    <w:rsid w:val="00F54142"/>
    <w:rsid w:val="00F546CD"/>
    <w:rsid w:val="00F552BB"/>
    <w:rsid w:val="00F55389"/>
    <w:rsid w:val="00F55B8D"/>
    <w:rsid w:val="00F5612C"/>
    <w:rsid w:val="00F56243"/>
    <w:rsid w:val="00F6036B"/>
    <w:rsid w:val="00F60398"/>
    <w:rsid w:val="00F60DA4"/>
    <w:rsid w:val="00F61B12"/>
    <w:rsid w:val="00F63616"/>
    <w:rsid w:val="00F641ED"/>
    <w:rsid w:val="00F6471F"/>
    <w:rsid w:val="00F65F1F"/>
    <w:rsid w:val="00F6601C"/>
    <w:rsid w:val="00F663E7"/>
    <w:rsid w:val="00F6694C"/>
    <w:rsid w:val="00F66D80"/>
    <w:rsid w:val="00F70EB5"/>
    <w:rsid w:val="00F731D4"/>
    <w:rsid w:val="00F7321B"/>
    <w:rsid w:val="00F74D8C"/>
    <w:rsid w:val="00F74FEC"/>
    <w:rsid w:val="00F750E2"/>
    <w:rsid w:val="00F76520"/>
    <w:rsid w:val="00F76CD6"/>
    <w:rsid w:val="00F77BE1"/>
    <w:rsid w:val="00F80B9D"/>
    <w:rsid w:val="00F8289A"/>
    <w:rsid w:val="00F82931"/>
    <w:rsid w:val="00F83685"/>
    <w:rsid w:val="00F83968"/>
    <w:rsid w:val="00F83F04"/>
    <w:rsid w:val="00F848C5"/>
    <w:rsid w:val="00F84E3B"/>
    <w:rsid w:val="00F85F4B"/>
    <w:rsid w:val="00F862B5"/>
    <w:rsid w:val="00F86B38"/>
    <w:rsid w:val="00F877DD"/>
    <w:rsid w:val="00F92476"/>
    <w:rsid w:val="00F93186"/>
    <w:rsid w:val="00F941FF"/>
    <w:rsid w:val="00F95318"/>
    <w:rsid w:val="00F95473"/>
    <w:rsid w:val="00F958EF"/>
    <w:rsid w:val="00F95BE9"/>
    <w:rsid w:val="00F960D2"/>
    <w:rsid w:val="00F97AA3"/>
    <w:rsid w:val="00FA0894"/>
    <w:rsid w:val="00FA0B84"/>
    <w:rsid w:val="00FA1EA9"/>
    <w:rsid w:val="00FA2083"/>
    <w:rsid w:val="00FA33F7"/>
    <w:rsid w:val="00FA3F7F"/>
    <w:rsid w:val="00FA3FB6"/>
    <w:rsid w:val="00FA5009"/>
    <w:rsid w:val="00FA6C1A"/>
    <w:rsid w:val="00FA6F12"/>
    <w:rsid w:val="00FA76FA"/>
    <w:rsid w:val="00FA79EF"/>
    <w:rsid w:val="00FA7C27"/>
    <w:rsid w:val="00FA7F21"/>
    <w:rsid w:val="00FB084C"/>
    <w:rsid w:val="00FB164F"/>
    <w:rsid w:val="00FB47B4"/>
    <w:rsid w:val="00FB5482"/>
    <w:rsid w:val="00FB5963"/>
    <w:rsid w:val="00FB5F94"/>
    <w:rsid w:val="00FB68F9"/>
    <w:rsid w:val="00FB721F"/>
    <w:rsid w:val="00FB7988"/>
    <w:rsid w:val="00FC0E16"/>
    <w:rsid w:val="00FC6268"/>
    <w:rsid w:val="00FC771F"/>
    <w:rsid w:val="00FD0368"/>
    <w:rsid w:val="00FD1352"/>
    <w:rsid w:val="00FD1817"/>
    <w:rsid w:val="00FD29E4"/>
    <w:rsid w:val="00FD3204"/>
    <w:rsid w:val="00FD333A"/>
    <w:rsid w:val="00FD44D5"/>
    <w:rsid w:val="00FD460A"/>
    <w:rsid w:val="00FD50C3"/>
    <w:rsid w:val="00FD57A0"/>
    <w:rsid w:val="00FD67ED"/>
    <w:rsid w:val="00FD7955"/>
    <w:rsid w:val="00FD7B5E"/>
    <w:rsid w:val="00FE0453"/>
    <w:rsid w:val="00FE04B9"/>
    <w:rsid w:val="00FE3381"/>
    <w:rsid w:val="00FE372A"/>
    <w:rsid w:val="00FE497B"/>
    <w:rsid w:val="00FE52BD"/>
    <w:rsid w:val="00FE5955"/>
    <w:rsid w:val="00FE5EBC"/>
    <w:rsid w:val="00FE759B"/>
    <w:rsid w:val="00FE7700"/>
    <w:rsid w:val="00FF04E7"/>
    <w:rsid w:val="00FF1005"/>
    <w:rsid w:val="00FF1256"/>
    <w:rsid w:val="00FF183E"/>
    <w:rsid w:val="00FF1A05"/>
    <w:rsid w:val="00FF3F21"/>
    <w:rsid w:val="00FF3FE2"/>
    <w:rsid w:val="00FF4865"/>
    <w:rsid w:val="00FF48AF"/>
    <w:rsid w:val="00FF7E4B"/>
    <w:rsid w:val="010F20B7"/>
    <w:rsid w:val="016A41B3"/>
    <w:rsid w:val="017538F3"/>
    <w:rsid w:val="017E5644"/>
    <w:rsid w:val="01901434"/>
    <w:rsid w:val="02076B35"/>
    <w:rsid w:val="02641C78"/>
    <w:rsid w:val="02D36DA7"/>
    <w:rsid w:val="03000C5F"/>
    <w:rsid w:val="0309487F"/>
    <w:rsid w:val="035504DD"/>
    <w:rsid w:val="037954A1"/>
    <w:rsid w:val="03914633"/>
    <w:rsid w:val="03B2361F"/>
    <w:rsid w:val="04057D72"/>
    <w:rsid w:val="04065E75"/>
    <w:rsid w:val="040F6035"/>
    <w:rsid w:val="0417284D"/>
    <w:rsid w:val="04530D31"/>
    <w:rsid w:val="04847619"/>
    <w:rsid w:val="04C6350A"/>
    <w:rsid w:val="053A2130"/>
    <w:rsid w:val="05976244"/>
    <w:rsid w:val="05A06786"/>
    <w:rsid w:val="05A244FE"/>
    <w:rsid w:val="05B30B7B"/>
    <w:rsid w:val="05B339D9"/>
    <w:rsid w:val="05B96949"/>
    <w:rsid w:val="05FC7692"/>
    <w:rsid w:val="05FF6599"/>
    <w:rsid w:val="064B6118"/>
    <w:rsid w:val="064C1AFE"/>
    <w:rsid w:val="066934ED"/>
    <w:rsid w:val="067F5A80"/>
    <w:rsid w:val="06D710FE"/>
    <w:rsid w:val="06E35FDD"/>
    <w:rsid w:val="07711CEB"/>
    <w:rsid w:val="07A364AD"/>
    <w:rsid w:val="084F1DB3"/>
    <w:rsid w:val="08704CB0"/>
    <w:rsid w:val="08733F98"/>
    <w:rsid w:val="08960C20"/>
    <w:rsid w:val="089A3226"/>
    <w:rsid w:val="08C61B13"/>
    <w:rsid w:val="08C70DDE"/>
    <w:rsid w:val="08E00486"/>
    <w:rsid w:val="09447BEE"/>
    <w:rsid w:val="095B6F09"/>
    <w:rsid w:val="09942605"/>
    <w:rsid w:val="09DD3D66"/>
    <w:rsid w:val="09EA04D4"/>
    <w:rsid w:val="0A164C9A"/>
    <w:rsid w:val="0A2912F9"/>
    <w:rsid w:val="0A395C0C"/>
    <w:rsid w:val="0A83245C"/>
    <w:rsid w:val="0A887C55"/>
    <w:rsid w:val="0A9850BD"/>
    <w:rsid w:val="0ADC342E"/>
    <w:rsid w:val="0B02453B"/>
    <w:rsid w:val="0B4330C5"/>
    <w:rsid w:val="0B450970"/>
    <w:rsid w:val="0B72604E"/>
    <w:rsid w:val="0C265917"/>
    <w:rsid w:val="0C933C3F"/>
    <w:rsid w:val="0CB500CA"/>
    <w:rsid w:val="0CF343AC"/>
    <w:rsid w:val="0D02611C"/>
    <w:rsid w:val="0D0F374D"/>
    <w:rsid w:val="0D3158FF"/>
    <w:rsid w:val="0D3F61BC"/>
    <w:rsid w:val="0D476384"/>
    <w:rsid w:val="0D712C3D"/>
    <w:rsid w:val="0DCD6444"/>
    <w:rsid w:val="0DF22816"/>
    <w:rsid w:val="0E0B5D3E"/>
    <w:rsid w:val="0E13562C"/>
    <w:rsid w:val="0E867178"/>
    <w:rsid w:val="0F2378E8"/>
    <w:rsid w:val="0F251926"/>
    <w:rsid w:val="0F2A1A5B"/>
    <w:rsid w:val="0F332FE0"/>
    <w:rsid w:val="0FA71F60"/>
    <w:rsid w:val="0FB11AC1"/>
    <w:rsid w:val="10026B72"/>
    <w:rsid w:val="100272F1"/>
    <w:rsid w:val="102175E7"/>
    <w:rsid w:val="10345644"/>
    <w:rsid w:val="104C5136"/>
    <w:rsid w:val="10A15D28"/>
    <w:rsid w:val="10B6443F"/>
    <w:rsid w:val="11030162"/>
    <w:rsid w:val="119959BC"/>
    <w:rsid w:val="11AE0DFD"/>
    <w:rsid w:val="11D46505"/>
    <w:rsid w:val="11DD2BF4"/>
    <w:rsid w:val="11EA25B3"/>
    <w:rsid w:val="11F20DCC"/>
    <w:rsid w:val="12214868"/>
    <w:rsid w:val="12264728"/>
    <w:rsid w:val="1235316F"/>
    <w:rsid w:val="124E4A49"/>
    <w:rsid w:val="125C04EE"/>
    <w:rsid w:val="12DB5F4E"/>
    <w:rsid w:val="130F459D"/>
    <w:rsid w:val="13336CA6"/>
    <w:rsid w:val="133652DE"/>
    <w:rsid w:val="13397D40"/>
    <w:rsid w:val="13617C5A"/>
    <w:rsid w:val="13AE0141"/>
    <w:rsid w:val="13EA7F98"/>
    <w:rsid w:val="13FC5717"/>
    <w:rsid w:val="142A4463"/>
    <w:rsid w:val="14B14AAC"/>
    <w:rsid w:val="14DA2E89"/>
    <w:rsid w:val="14DB396D"/>
    <w:rsid w:val="14FE5B52"/>
    <w:rsid w:val="150C335D"/>
    <w:rsid w:val="15220416"/>
    <w:rsid w:val="153207E8"/>
    <w:rsid w:val="15651813"/>
    <w:rsid w:val="156F2002"/>
    <w:rsid w:val="15C622E8"/>
    <w:rsid w:val="15D26D0F"/>
    <w:rsid w:val="16230A03"/>
    <w:rsid w:val="162B4B2F"/>
    <w:rsid w:val="16440FC4"/>
    <w:rsid w:val="164F7C3C"/>
    <w:rsid w:val="16577AB2"/>
    <w:rsid w:val="16782652"/>
    <w:rsid w:val="168923D2"/>
    <w:rsid w:val="1695722A"/>
    <w:rsid w:val="16982B3D"/>
    <w:rsid w:val="169938DA"/>
    <w:rsid w:val="169B5E23"/>
    <w:rsid w:val="16BC24F1"/>
    <w:rsid w:val="16BF72F1"/>
    <w:rsid w:val="16CF09C6"/>
    <w:rsid w:val="16E848EB"/>
    <w:rsid w:val="17146CCB"/>
    <w:rsid w:val="17544267"/>
    <w:rsid w:val="175B329C"/>
    <w:rsid w:val="17665915"/>
    <w:rsid w:val="177E7D74"/>
    <w:rsid w:val="178F54A6"/>
    <w:rsid w:val="179E096F"/>
    <w:rsid w:val="17F53D11"/>
    <w:rsid w:val="18007A54"/>
    <w:rsid w:val="18084DE5"/>
    <w:rsid w:val="181C3E98"/>
    <w:rsid w:val="182A6F4E"/>
    <w:rsid w:val="18470038"/>
    <w:rsid w:val="184D08A1"/>
    <w:rsid w:val="185D3B20"/>
    <w:rsid w:val="18612E20"/>
    <w:rsid w:val="1894696A"/>
    <w:rsid w:val="18A328EF"/>
    <w:rsid w:val="18A36077"/>
    <w:rsid w:val="18E47046"/>
    <w:rsid w:val="18EC7629"/>
    <w:rsid w:val="197C5554"/>
    <w:rsid w:val="19A9470B"/>
    <w:rsid w:val="19AA13A9"/>
    <w:rsid w:val="19BF275F"/>
    <w:rsid w:val="19F2280D"/>
    <w:rsid w:val="1A2972F9"/>
    <w:rsid w:val="1A30064D"/>
    <w:rsid w:val="1A847D77"/>
    <w:rsid w:val="1AF55AEC"/>
    <w:rsid w:val="1AFA4279"/>
    <w:rsid w:val="1B05327D"/>
    <w:rsid w:val="1B1C5DD1"/>
    <w:rsid w:val="1B2038CE"/>
    <w:rsid w:val="1B286C99"/>
    <w:rsid w:val="1B583F92"/>
    <w:rsid w:val="1BC6259D"/>
    <w:rsid w:val="1CA81D64"/>
    <w:rsid w:val="1CAE6FFD"/>
    <w:rsid w:val="1CE4345E"/>
    <w:rsid w:val="1D1D7A74"/>
    <w:rsid w:val="1D445AFC"/>
    <w:rsid w:val="1D464B88"/>
    <w:rsid w:val="1D8643A0"/>
    <w:rsid w:val="1D866175"/>
    <w:rsid w:val="1DB7050B"/>
    <w:rsid w:val="1DDB54C1"/>
    <w:rsid w:val="1E01583E"/>
    <w:rsid w:val="1E0606B4"/>
    <w:rsid w:val="1E4C6963"/>
    <w:rsid w:val="1E86175D"/>
    <w:rsid w:val="1E9C0C12"/>
    <w:rsid w:val="1EB90915"/>
    <w:rsid w:val="1ECF5F78"/>
    <w:rsid w:val="1F2147EE"/>
    <w:rsid w:val="1F851B0E"/>
    <w:rsid w:val="1F9E3C07"/>
    <w:rsid w:val="1FA50179"/>
    <w:rsid w:val="201E7913"/>
    <w:rsid w:val="20252D3E"/>
    <w:rsid w:val="2093236D"/>
    <w:rsid w:val="20E14BA4"/>
    <w:rsid w:val="20F050FE"/>
    <w:rsid w:val="20F1485A"/>
    <w:rsid w:val="211672D0"/>
    <w:rsid w:val="21794269"/>
    <w:rsid w:val="21F017E4"/>
    <w:rsid w:val="22054F03"/>
    <w:rsid w:val="222C282D"/>
    <w:rsid w:val="222E1FA2"/>
    <w:rsid w:val="223D5C1E"/>
    <w:rsid w:val="22791B0C"/>
    <w:rsid w:val="228E7374"/>
    <w:rsid w:val="22932B24"/>
    <w:rsid w:val="22E06923"/>
    <w:rsid w:val="23003148"/>
    <w:rsid w:val="23026DA0"/>
    <w:rsid w:val="238326A6"/>
    <w:rsid w:val="23F93A8F"/>
    <w:rsid w:val="24283322"/>
    <w:rsid w:val="244C48F6"/>
    <w:rsid w:val="2461200B"/>
    <w:rsid w:val="24DD6008"/>
    <w:rsid w:val="24E93AE1"/>
    <w:rsid w:val="24F6555D"/>
    <w:rsid w:val="25135868"/>
    <w:rsid w:val="2526129E"/>
    <w:rsid w:val="25572B18"/>
    <w:rsid w:val="259A134D"/>
    <w:rsid w:val="25A3282C"/>
    <w:rsid w:val="25AF20B1"/>
    <w:rsid w:val="25B175BB"/>
    <w:rsid w:val="25B47D88"/>
    <w:rsid w:val="25C51D5C"/>
    <w:rsid w:val="25D35FC3"/>
    <w:rsid w:val="25DE174A"/>
    <w:rsid w:val="261E4C4D"/>
    <w:rsid w:val="262E67D5"/>
    <w:rsid w:val="26491DA1"/>
    <w:rsid w:val="264D1AAD"/>
    <w:rsid w:val="2655337B"/>
    <w:rsid w:val="26675B0F"/>
    <w:rsid w:val="267A408E"/>
    <w:rsid w:val="269F5C69"/>
    <w:rsid w:val="26A515CA"/>
    <w:rsid w:val="26B94E34"/>
    <w:rsid w:val="26BA4CD1"/>
    <w:rsid w:val="26CE15AF"/>
    <w:rsid w:val="26F452D2"/>
    <w:rsid w:val="26FC1168"/>
    <w:rsid w:val="27321CD0"/>
    <w:rsid w:val="275B34ED"/>
    <w:rsid w:val="27AD6F4A"/>
    <w:rsid w:val="27C0102A"/>
    <w:rsid w:val="27C76894"/>
    <w:rsid w:val="28031E61"/>
    <w:rsid w:val="283B61A8"/>
    <w:rsid w:val="285A1175"/>
    <w:rsid w:val="287E4F92"/>
    <w:rsid w:val="28895EF2"/>
    <w:rsid w:val="28950B44"/>
    <w:rsid w:val="28A612B9"/>
    <w:rsid w:val="28BE6AEA"/>
    <w:rsid w:val="2925091F"/>
    <w:rsid w:val="295A527F"/>
    <w:rsid w:val="29E7390A"/>
    <w:rsid w:val="2A037AF0"/>
    <w:rsid w:val="2A1A0371"/>
    <w:rsid w:val="2A3161EA"/>
    <w:rsid w:val="2A65496F"/>
    <w:rsid w:val="2B8311FA"/>
    <w:rsid w:val="2B94747C"/>
    <w:rsid w:val="2BA5682E"/>
    <w:rsid w:val="2BBC740E"/>
    <w:rsid w:val="2BEF33AC"/>
    <w:rsid w:val="2C004ECB"/>
    <w:rsid w:val="2C076298"/>
    <w:rsid w:val="2C23655C"/>
    <w:rsid w:val="2C387272"/>
    <w:rsid w:val="2C4B04B2"/>
    <w:rsid w:val="2C931EE2"/>
    <w:rsid w:val="2C9D3A40"/>
    <w:rsid w:val="2CED2851"/>
    <w:rsid w:val="2D0504E9"/>
    <w:rsid w:val="2D9F2D4A"/>
    <w:rsid w:val="2DC9792A"/>
    <w:rsid w:val="2DE1467B"/>
    <w:rsid w:val="2E6D735E"/>
    <w:rsid w:val="2E861045"/>
    <w:rsid w:val="2E886A64"/>
    <w:rsid w:val="2ED140DE"/>
    <w:rsid w:val="2EEB3F7B"/>
    <w:rsid w:val="2F1F1161"/>
    <w:rsid w:val="2F800423"/>
    <w:rsid w:val="2F982F92"/>
    <w:rsid w:val="2F9A2111"/>
    <w:rsid w:val="2FA74E5C"/>
    <w:rsid w:val="2FDE50AC"/>
    <w:rsid w:val="2FEB0BFC"/>
    <w:rsid w:val="30174ED2"/>
    <w:rsid w:val="30316467"/>
    <w:rsid w:val="303C1906"/>
    <w:rsid w:val="307E01C9"/>
    <w:rsid w:val="309F69C4"/>
    <w:rsid w:val="30AA495D"/>
    <w:rsid w:val="30B63256"/>
    <w:rsid w:val="30CF2F77"/>
    <w:rsid w:val="30E56574"/>
    <w:rsid w:val="30FC0B3F"/>
    <w:rsid w:val="30FE68BD"/>
    <w:rsid w:val="31582C06"/>
    <w:rsid w:val="3182110B"/>
    <w:rsid w:val="3199517F"/>
    <w:rsid w:val="31A36715"/>
    <w:rsid w:val="31A427FF"/>
    <w:rsid w:val="31EC376B"/>
    <w:rsid w:val="326A155B"/>
    <w:rsid w:val="327C77A5"/>
    <w:rsid w:val="32C930F6"/>
    <w:rsid w:val="32CF1FCB"/>
    <w:rsid w:val="32DF630D"/>
    <w:rsid w:val="32F357C6"/>
    <w:rsid w:val="333465FA"/>
    <w:rsid w:val="33410A92"/>
    <w:rsid w:val="3344755D"/>
    <w:rsid w:val="336530DF"/>
    <w:rsid w:val="33796646"/>
    <w:rsid w:val="339A00B5"/>
    <w:rsid w:val="33A51F6E"/>
    <w:rsid w:val="33DE1922"/>
    <w:rsid w:val="3412376A"/>
    <w:rsid w:val="34161726"/>
    <w:rsid w:val="343A3D5A"/>
    <w:rsid w:val="34512022"/>
    <w:rsid w:val="34AA0CFA"/>
    <w:rsid w:val="34AB2F62"/>
    <w:rsid w:val="3514733E"/>
    <w:rsid w:val="35252CDB"/>
    <w:rsid w:val="354C1F50"/>
    <w:rsid w:val="355844D8"/>
    <w:rsid w:val="358522B0"/>
    <w:rsid w:val="358C16AC"/>
    <w:rsid w:val="35D23EA2"/>
    <w:rsid w:val="35E7707E"/>
    <w:rsid w:val="36223E4D"/>
    <w:rsid w:val="36B45141"/>
    <w:rsid w:val="36C96073"/>
    <w:rsid w:val="36DD4555"/>
    <w:rsid w:val="36DE6563"/>
    <w:rsid w:val="3718513D"/>
    <w:rsid w:val="375866D7"/>
    <w:rsid w:val="376B216E"/>
    <w:rsid w:val="37911DBB"/>
    <w:rsid w:val="37CC6B33"/>
    <w:rsid w:val="37F34BD4"/>
    <w:rsid w:val="38034107"/>
    <w:rsid w:val="38211C95"/>
    <w:rsid w:val="38475D0B"/>
    <w:rsid w:val="384B6095"/>
    <w:rsid w:val="385D69FB"/>
    <w:rsid w:val="38667115"/>
    <w:rsid w:val="38882EC8"/>
    <w:rsid w:val="38C207CA"/>
    <w:rsid w:val="39203C33"/>
    <w:rsid w:val="395B1F86"/>
    <w:rsid w:val="39735223"/>
    <w:rsid w:val="399374C8"/>
    <w:rsid w:val="3999052E"/>
    <w:rsid w:val="399D3915"/>
    <w:rsid w:val="39B557FC"/>
    <w:rsid w:val="3A092963"/>
    <w:rsid w:val="3A1F3156"/>
    <w:rsid w:val="3A2121D0"/>
    <w:rsid w:val="3A2A42A8"/>
    <w:rsid w:val="3A702AB0"/>
    <w:rsid w:val="3A9F217F"/>
    <w:rsid w:val="3B6A397B"/>
    <w:rsid w:val="3B6D121F"/>
    <w:rsid w:val="3B7220A3"/>
    <w:rsid w:val="3BE37B40"/>
    <w:rsid w:val="3C7A0F4B"/>
    <w:rsid w:val="3CB23C59"/>
    <w:rsid w:val="3CDE143D"/>
    <w:rsid w:val="3D19491D"/>
    <w:rsid w:val="3D71180B"/>
    <w:rsid w:val="3D996E52"/>
    <w:rsid w:val="3DE8161F"/>
    <w:rsid w:val="3E140D9C"/>
    <w:rsid w:val="3E2D40C2"/>
    <w:rsid w:val="3E4C7D85"/>
    <w:rsid w:val="3E5A440A"/>
    <w:rsid w:val="3E805CBA"/>
    <w:rsid w:val="3E922484"/>
    <w:rsid w:val="3F1A7222"/>
    <w:rsid w:val="3F4C40E5"/>
    <w:rsid w:val="3F730C3A"/>
    <w:rsid w:val="3F9F40CD"/>
    <w:rsid w:val="3FA212F6"/>
    <w:rsid w:val="3FD407B9"/>
    <w:rsid w:val="3FF770A5"/>
    <w:rsid w:val="401A49A4"/>
    <w:rsid w:val="401F3F62"/>
    <w:rsid w:val="40426B8A"/>
    <w:rsid w:val="407F023E"/>
    <w:rsid w:val="40F01DA0"/>
    <w:rsid w:val="414548A4"/>
    <w:rsid w:val="415C78AB"/>
    <w:rsid w:val="416702DC"/>
    <w:rsid w:val="416A171C"/>
    <w:rsid w:val="41A44A5E"/>
    <w:rsid w:val="41AB52AA"/>
    <w:rsid w:val="41B36E3A"/>
    <w:rsid w:val="421F2015"/>
    <w:rsid w:val="423C334B"/>
    <w:rsid w:val="42737515"/>
    <w:rsid w:val="42931057"/>
    <w:rsid w:val="42953F2F"/>
    <w:rsid w:val="429D092C"/>
    <w:rsid w:val="42BC065D"/>
    <w:rsid w:val="42C1147B"/>
    <w:rsid w:val="42EA6F76"/>
    <w:rsid w:val="42EB7271"/>
    <w:rsid w:val="43005B48"/>
    <w:rsid w:val="43431281"/>
    <w:rsid w:val="437C478D"/>
    <w:rsid w:val="43962AEF"/>
    <w:rsid w:val="43A4589F"/>
    <w:rsid w:val="43F84BC7"/>
    <w:rsid w:val="44155CD7"/>
    <w:rsid w:val="448C32AF"/>
    <w:rsid w:val="44920D96"/>
    <w:rsid w:val="45013861"/>
    <w:rsid w:val="45304E04"/>
    <w:rsid w:val="45344EFF"/>
    <w:rsid w:val="45740239"/>
    <w:rsid w:val="45763D02"/>
    <w:rsid w:val="465F629B"/>
    <w:rsid w:val="469212B1"/>
    <w:rsid w:val="469A14F9"/>
    <w:rsid w:val="46B251CD"/>
    <w:rsid w:val="471E04B4"/>
    <w:rsid w:val="472408B6"/>
    <w:rsid w:val="47481EE5"/>
    <w:rsid w:val="475516CA"/>
    <w:rsid w:val="478453C9"/>
    <w:rsid w:val="47A07476"/>
    <w:rsid w:val="47C47899"/>
    <w:rsid w:val="47E93A46"/>
    <w:rsid w:val="47EA6338"/>
    <w:rsid w:val="47EE3855"/>
    <w:rsid w:val="47F4144E"/>
    <w:rsid w:val="481A5CF8"/>
    <w:rsid w:val="486B7913"/>
    <w:rsid w:val="48AB120B"/>
    <w:rsid w:val="48B71C0D"/>
    <w:rsid w:val="48D44C1C"/>
    <w:rsid w:val="48D82066"/>
    <w:rsid w:val="48EE0C9B"/>
    <w:rsid w:val="490802AA"/>
    <w:rsid w:val="497E72B2"/>
    <w:rsid w:val="49F17F84"/>
    <w:rsid w:val="49F477AC"/>
    <w:rsid w:val="4A031878"/>
    <w:rsid w:val="4A1601F9"/>
    <w:rsid w:val="4A410CD4"/>
    <w:rsid w:val="4A55614C"/>
    <w:rsid w:val="4A822C4D"/>
    <w:rsid w:val="4A946872"/>
    <w:rsid w:val="4AAC3770"/>
    <w:rsid w:val="4AC41958"/>
    <w:rsid w:val="4B57029E"/>
    <w:rsid w:val="4B7F38EA"/>
    <w:rsid w:val="4BF118DD"/>
    <w:rsid w:val="4C3B5627"/>
    <w:rsid w:val="4C4C2CC5"/>
    <w:rsid w:val="4C546DC5"/>
    <w:rsid w:val="4C574D08"/>
    <w:rsid w:val="4C685496"/>
    <w:rsid w:val="4C9174D0"/>
    <w:rsid w:val="4CC92092"/>
    <w:rsid w:val="4CF84B60"/>
    <w:rsid w:val="4D01454F"/>
    <w:rsid w:val="4D7D663E"/>
    <w:rsid w:val="4D974C11"/>
    <w:rsid w:val="4DA150A2"/>
    <w:rsid w:val="4DE61BF3"/>
    <w:rsid w:val="4DF41B43"/>
    <w:rsid w:val="4DFC11D0"/>
    <w:rsid w:val="4E1A4D2F"/>
    <w:rsid w:val="4E6808E6"/>
    <w:rsid w:val="4E79627C"/>
    <w:rsid w:val="4E956301"/>
    <w:rsid w:val="4E9A3104"/>
    <w:rsid w:val="4E9E03C5"/>
    <w:rsid w:val="4EA32F4C"/>
    <w:rsid w:val="4EAA02B3"/>
    <w:rsid w:val="4EAC7E99"/>
    <w:rsid w:val="4ED077FC"/>
    <w:rsid w:val="4F0F42E7"/>
    <w:rsid w:val="4F532B9A"/>
    <w:rsid w:val="4F84039D"/>
    <w:rsid w:val="4FCB10B7"/>
    <w:rsid w:val="4FCE56C8"/>
    <w:rsid w:val="4FDB3DD2"/>
    <w:rsid w:val="4FE46279"/>
    <w:rsid w:val="50104CA3"/>
    <w:rsid w:val="503A27C6"/>
    <w:rsid w:val="505401AF"/>
    <w:rsid w:val="505707BC"/>
    <w:rsid w:val="505F41DE"/>
    <w:rsid w:val="5070570F"/>
    <w:rsid w:val="50813716"/>
    <w:rsid w:val="508B52DA"/>
    <w:rsid w:val="508F71EE"/>
    <w:rsid w:val="50CD7B01"/>
    <w:rsid w:val="511B0E33"/>
    <w:rsid w:val="512B6A48"/>
    <w:rsid w:val="51372F0F"/>
    <w:rsid w:val="5198645A"/>
    <w:rsid w:val="519873A9"/>
    <w:rsid w:val="51AD66B2"/>
    <w:rsid w:val="51B52DDA"/>
    <w:rsid w:val="5206336F"/>
    <w:rsid w:val="522451F5"/>
    <w:rsid w:val="52475B95"/>
    <w:rsid w:val="52D1642B"/>
    <w:rsid w:val="52E527DF"/>
    <w:rsid w:val="531F0EC9"/>
    <w:rsid w:val="53342CF0"/>
    <w:rsid w:val="53621F69"/>
    <w:rsid w:val="5435272C"/>
    <w:rsid w:val="548D40EB"/>
    <w:rsid w:val="54DB748E"/>
    <w:rsid w:val="54DF36E3"/>
    <w:rsid w:val="55E849F1"/>
    <w:rsid w:val="55E85710"/>
    <w:rsid w:val="560C30B9"/>
    <w:rsid w:val="5657232B"/>
    <w:rsid w:val="565D421A"/>
    <w:rsid w:val="56825BFB"/>
    <w:rsid w:val="569113FC"/>
    <w:rsid w:val="56F94B00"/>
    <w:rsid w:val="574D2D46"/>
    <w:rsid w:val="574F6842"/>
    <w:rsid w:val="5754357C"/>
    <w:rsid w:val="575715EC"/>
    <w:rsid w:val="57AD072B"/>
    <w:rsid w:val="57FA3F5A"/>
    <w:rsid w:val="582072E3"/>
    <w:rsid w:val="582242BD"/>
    <w:rsid w:val="58330BD9"/>
    <w:rsid w:val="583F2A75"/>
    <w:rsid w:val="58486E73"/>
    <w:rsid w:val="584C6AC5"/>
    <w:rsid w:val="5859257A"/>
    <w:rsid w:val="58D54001"/>
    <w:rsid w:val="5919013F"/>
    <w:rsid w:val="59385742"/>
    <w:rsid w:val="595E0DC1"/>
    <w:rsid w:val="5986461F"/>
    <w:rsid w:val="59911FDE"/>
    <w:rsid w:val="59A633DE"/>
    <w:rsid w:val="59E9754A"/>
    <w:rsid w:val="5A1A77AE"/>
    <w:rsid w:val="5AED160E"/>
    <w:rsid w:val="5AFF5D14"/>
    <w:rsid w:val="5B143269"/>
    <w:rsid w:val="5B79486F"/>
    <w:rsid w:val="5B8A0DAE"/>
    <w:rsid w:val="5BAE0573"/>
    <w:rsid w:val="5BBE391F"/>
    <w:rsid w:val="5C5E020E"/>
    <w:rsid w:val="5C637AB7"/>
    <w:rsid w:val="5D04603C"/>
    <w:rsid w:val="5D102846"/>
    <w:rsid w:val="5D270536"/>
    <w:rsid w:val="5D343D7A"/>
    <w:rsid w:val="5D4D2D49"/>
    <w:rsid w:val="5DAE5E37"/>
    <w:rsid w:val="5E3D0A4B"/>
    <w:rsid w:val="5E8D1F07"/>
    <w:rsid w:val="5EAD49BE"/>
    <w:rsid w:val="5EDA3215"/>
    <w:rsid w:val="5F0A24D7"/>
    <w:rsid w:val="5F8416C1"/>
    <w:rsid w:val="5F8911B7"/>
    <w:rsid w:val="60374DD6"/>
    <w:rsid w:val="60662304"/>
    <w:rsid w:val="6071008B"/>
    <w:rsid w:val="60910F35"/>
    <w:rsid w:val="609C4484"/>
    <w:rsid w:val="60A24987"/>
    <w:rsid w:val="60C95C08"/>
    <w:rsid w:val="61154B20"/>
    <w:rsid w:val="6122164A"/>
    <w:rsid w:val="61320DFA"/>
    <w:rsid w:val="613A3C23"/>
    <w:rsid w:val="616404D4"/>
    <w:rsid w:val="6265325F"/>
    <w:rsid w:val="628B0B7E"/>
    <w:rsid w:val="62AF157A"/>
    <w:rsid w:val="62D02D23"/>
    <w:rsid w:val="62E4334D"/>
    <w:rsid w:val="63107DAB"/>
    <w:rsid w:val="63184944"/>
    <w:rsid w:val="633A237D"/>
    <w:rsid w:val="63831656"/>
    <w:rsid w:val="63C529F2"/>
    <w:rsid w:val="63E0253C"/>
    <w:rsid w:val="64063AED"/>
    <w:rsid w:val="641823FB"/>
    <w:rsid w:val="64AD64BF"/>
    <w:rsid w:val="64AF1FDB"/>
    <w:rsid w:val="64B73747"/>
    <w:rsid w:val="64F40B2E"/>
    <w:rsid w:val="65BC20D8"/>
    <w:rsid w:val="65F31D6D"/>
    <w:rsid w:val="660113EA"/>
    <w:rsid w:val="660268E3"/>
    <w:rsid w:val="663F52CD"/>
    <w:rsid w:val="66540CC2"/>
    <w:rsid w:val="66962232"/>
    <w:rsid w:val="66E70ECD"/>
    <w:rsid w:val="66F4451E"/>
    <w:rsid w:val="66F9257C"/>
    <w:rsid w:val="6713182C"/>
    <w:rsid w:val="673922C1"/>
    <w:rsid w:val="676C0D3D"/>
    <w:rsid w:val="67782751"/>
    <w:rsid w:val="679F2BCF"/>
    <w:rsid w:val="67A32159"/>
    <w:rsid w:val="67BC545A"/>
    <w:rsid w:val="6802774F"/>
    <w:rsid w:val="68040938"/>
    <w:rsid w:val="687E55E4"/>
    <w:rsid w:val="688E3B8F"/>
    <w:rsid w:val="68976055"/>
    <w:rsid w:val="692D3E6F"/>
    <w:rsid w:val="695A0BEA"/>
    <w:rsid w:val="696E18AF"/>
    <w:rsid w:val="69D07219"/>
    <w:rsid w:val="69D87203"/>
    <w:rsid w:val="6A1F0B6F"/>
    <w:rsid w:val="6A3522C9"/>
    <w:rsid w:val="6A9C0948"/>
    <w:rsid w:val="6AA33EC1"/>
    <w:rsid w:val="6AB758E9"/>
    <w:rsid w:val="6AC443ED"/>
    <w:rsid w:val="6B5B49FB"/>
    <w:rsid w:val="6B6658FC"/>
    <w:rsid w:val="6BBA1F66"/>
    <w:rsid w:val="6BD14A42"/>
    <w:rsid w:val="6C110B8B"/>
    <w:rsid w:val="6C22508D"/>
    <w:rsid w:val="6C5D374A"/>
    <w:rsid w:val="6C7D27DA"/>
    <w:rsid w:val="6C875005"/>
    <w:rsid w:val="6C9F0516"/>
    <w:rsid w:val="6CD21501"/>
    <w:rsid w:val="6CF55F9E"/>
    <w:rsid w:val="6CFE42CD"/>
    <w:rsid w:val="6D183C79"/>
    <w:rsid w:val="6D4A61F7"/>
    <w:rsid w:val="6D5B4A30"/>
    <w:rsid w:val="6D5C1088"/>
    <w:rsid w:val="6D835044"/>
    <w:rsid w:val="6D8B77CB"/>
    <w:rsid w:val="6D926C19"/>
    <w:rsid w:val="6D932351"/>
    <w:rsid w:val="6DBA5994"/>
    <w:rsid w:val="6DD92BF9"/>
    <w:rsid w:val="6E545403"/>
    <w:rsid w:val="6E875A1E"/>
    <w:rsid w:val="6F2A05F8"/>
    <w:rsid w:val="6F3353FB"/>
    <w:rsid w:val="6F5C700C"/>
    <w:rsid w:val="6F6B52FA"/>
    <w:rsid w:val="6F8B5385"/>
    <w:rsid w:val="6FAC0104"/>
    <w:rsid w:val="6FB805A7"/>
    <w:rsid w:val="704F1F3C"/>
    <w:rsid w:val="705F0A7D"/>
    <w:rsid w:val="70DE61B4"/>
    <w:rsid w:val="711C5373"/>
    <w:rsid w:val="714F540D"/>
    <w:rsid w:val="71666362"/>
    <w:rsid w:val="71AE017A"/>
    <w:rsid w:val="71AF7306"/>
    <w:rsid w:val="71BE65F9"/>
    <w:rsid w:val="71D21216"/>
    <w:rsid w:val="71E027CB"/>
    <w:rsid w:val="72337EB1"/>
    <w:rsid w:val="726561D7"/>
    <w:rsid w:val="72752C26"/>
    <w:rsid w:val="73054189"/>
    <w:rsid w:val="732664F7"/>
    <w:rsid w:val="73266FBD"/>
    <w:rsid w:val="73441836"/>
    <w:rsid w:val="7365412C"/>
    <w:rsid w:val="73771560"/>
    <w:rsid w:val="73CC7710"/>
    <w:rsid w:val="73D101EB"/>
    <w:rsid w:val="73F74185"/>
    <w:rsid w:val="73FE4E22"/>
    <w:rsid w:val="74080C0C"/>
    <w:rsid w:val="74514947"/>
    <w:rsid w:val="74A6756F"/>
    <w:rsid w:val="74F34EB6"/>
    <w:rsid w:val="75016F9B"/>
    <w:rsid w:val="750A38F2"/>
    <w:rsid w:val="75155FF3"/>
    <w:rsid w:val="75447952"/>
    <w:rsid w:val="75512230"/>
    <w:rsid w:val="759F3545"/>
    <w:rsid w:val="75B77AAE"/>
    <w:rsid w:val="75BE2154"/>
    <w:rsid w:val="75EE0E48"/>
    <w:rsid w:val="75F119EB"/>
    <w:rsid w:val="76100E9C"/>
    <w:rsid w:val="761019F3"/>
    <w:rsid w:val="7667773C"/>
    <w:rsid w:val="76BC0BEA"/>
    <w:rsid w:val="76E83BB9"/>
    <w:rsid w:val="77271B57"/>
    <w:rsid w:val="7727370E"/>
    <w:rsid w:val="77577A89"/>
    <w:rsid w:val="77797773"/>
    <w:rsid w:val="785C403F"/>
    <w:rsid w:val="786414B0"/>
    <w:rsid w:val="789867C6"/>
    <w:rsid w:val="78EB4C19"/>
    <w:rsid w:val="78F24B67"/>
    <w:rsid w:val="794A69AC"/>
    <w:rsid w:val="7998538D"/>
    <w:rsid w:val="79AB1BAA"/>
    <w:rsid w:val="79F37E22"/>
    <w:rsid w:val="79F862DD"/>
    <w:rsid w:val="79F96E08"/>
    <w:rsid w:val="7A1A76C8"/>
    <w:rsid w:val="7A312BB1"/>
    <w:rsid w:val="7A750152"/>
    <w:rsid w:val="7AA149F2"/>
    <w:rsid w:val="7AE3542D"/>
    <w:rsid w:val="7B047C5F"/>
    <w:rsid w:val="7B183338"/>
    <w:rsid w:val="7B64028A"/>
    <w:rsid w:val="7BDF1B1E"/>
    <w:rsid w:val="7C0E7342"/>
    <w:rsid w:val="7C351578"/>
    <w:rsid w:val="7C3E27B5"/>
    <w:rsid w:val="7C4453C2"/>
    <w:rsid w:val="7C8E7766"/>
    <w:rsid w:val="7CDB798E"/>
    <w:rsid w:val="7D061385"/>
    <w:rsid w:val="7D476F10"/>
    <w:rsid w:val="7D5C3E07"/>
    <w:rsid w:val="7D621826"/>
    <w:rsid w:val="7D9977D9"/>
    <w:rsid w:val="7D9E5493"/>
    <w:rsid w:val="7DA20F27"/>
    <w:rsid w:val="7DD86484"/>
    <w:rsid w:val="7DE24CC0"/>
    <w:rsid w:val="7DF97D8B"/>
    <w:rsid w:val="7E29612E"/>
    <w:rsid w:val="7E643573"/>
    <w:rsid w:val="7E9E57AB"/>
    <w:rsid w:val="7EFF0757"/>
    <w:rsid w:val="7F71651D"/>
    <w:rsid w:val="7F750B16"/>
    <w:rsid w:val="7F8531AE"/>
    <w:rsid w:val="7FBF5DD2"/>
    <w:rsid w:val="7FD05778"/>
    <w:rsid w:val="7FF07AEA"/>
    <w:rsid w:val="7FF92A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qFormat="1" w:unhideWhenUsed="0" w:uiPriority="0" w:semiHidden="0" w:name="Closing" w:locked="1"/>
    <w:lsdException w:uiPriority="99" w:name="Signature" w:locked="1"/>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ocked="1"/>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6">
    <w:name w:val="heading 1"/>
    <w:basedOn w:val="1"/>
    <w:next w:val="1"/>
    <w:link w:val="59"/>
    <w:qFormat/>
    <w:uiPriority w:val="0"/>
    <w:pPr>
      <w:keepNext/>
      <w:keepLines/>
      <w:spacing w:before="340" w:after="330" w:line="576" w:lineRule="auto"/>
      <w:outlineLvl w:val="0"/>
    </w:pPr>
    <w:rPr>
      <w:b/>
      <w:kern w:val="44"/>
      <w:sz w:val="44"/>
    </w:rPr>
  </w:style>
  <w:style w:type="paragraph" w:styleId="7">
    <w:name w:val="heading 2"/>
    <w:basedOn w:val="1"/>
    <w:next w:val="1"/>
    <w:link w:val="60"/>
    <w:qFormat/>
    <w:uiPriority w:val="0"/>
    <w:pPr>
      <w:keepNext/>
      <w:keepLines/>
      <w:adjustRightInd w:val="0"/>
      <w:snapToGrid w:val="0"/>
      <w:spacing w:line="360" w:lineRule="auto"/>
      <w:jc w:val="center"/>
      <w:outlineLvl w:val="1"/>
    </w:pPr>
    <w:rPr>
      <w:rFonts w:ascii="宋体" w:hAnsi="Arial"/>
      <w:sz w:val="32"/>
    </w:rPr>
  </w:style>
  <w:style w:type="paragraph" w:styleId="8">
    <w:name w:val="heading 3"/>
    <w:basedOn w:val="1"/>
    <w:next w:val="1"/>
    <w:link w:val="61"/>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9">
    <w:name w:val="heading 4"/>
    <w:basedOn w:val="1"/>
    <w:next w:val="10"/>
    <w:link w:val="62"/>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12">
    <w:name w:val="heading 5"/>
    <w:basedOn w:val="1"/>
    <w:next w:val="10"/>
    <w:link w:val="64"/>
    <w:qFormat/>
    <w:uiPriority w:val="0"/>
    <w:pPr>
      <w:keepNext/>
      <w:widowControl w:val="0"/>
      <w:autoSpaceDE w:val="0"/>
      <w:autoSpaceDN w:val="0"/>
      <w:adjustRightInd w:val="0"/>
      <w:snapToGrid w:val="0"/>
      <w:spacing w:before="280" w:after="290" w:line="374" w:lineRule="auto"/>
      <w:jc w:val="both"/>
      <w:outlineLvl w:val="4"/>
    </w:pPr>
    <w:rPr>
      <w:rFonts w:ascii="宋体"/>
      <w:b/>
      <w:color w:val="000000"/>
      <w:sz w:val="28"/>
    </w:rPr>
  </w:style>
  <w:style w:type="paragraph" w:styleId="13">
    <w:name w:val="heading 6"/>
    <w:basedOn w:val="1"/>
    <w:next w:val="1"/>
    <w:link w:val="65"/>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4">
    <w:name w:val="heading 7"/>
    <w:basedOn w:val="1"/>
    <w:next w:val="10"/>
    <w:link w:val="66"/>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5">
    <w:name w:val="heading 8"/>
    <w:basedOn w:val="1"/>
    <w:next w:val="10"/>
    <w:link w:val="67"/>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6">
    <w:name w:val="heading 9"/>
    <w:basedOn w:val="1"/>
    <w:next w:val="10"/>
    <w:link w:val="68"/>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8"/>
    <w:uiPriority w:val="0"/>
    <w:pPr>
      <w:spacing w:after="120"/>
    </w:pPr>
  </w:style>
  <w:style w:type="paragraph" w:customStyle="1" w:styleId="3">
    <w:name w:val="Default"/>
    <w:basedOn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
    <w:name w:val="正文_2"/>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Plain Text1"/>
    <w:basedOn w:val="4"/>
    <w:qFormat/>
    <w:uiPriority w:val="0"/>
    <w:rPr>
      <w:rFonts w:ascii="宋体" w:hAnsi="Courier New" w:cs="Courier New"/>
      <w:szCs w:val="21"/>
    </w:rPr>
  </w:style>
  <w:style w:type="paragraph" w:styleId="10">
    <w:name w:val="Normal Indent"/>
    <w:basedOn w:val="2"/>
    <w:next w:val="11"/>
    <w:link w:val="63"/>
    <w:qFormat/>
    <w:uiPriority w:val="0"/>
    <w:pPr>
      <w:ind w:firstLine="420"/>
    </w:pPr>
  </w:style>
  <w:style w:type="paragraph" w:customStyle="1" w:styleId="11">
    <w:name w:val="样式 正文文本 + 宋体 首行缩进:  0.74 厘米 行距: 1.5 倍行距"/>
    <w:basedOn w:val="2"/>
    <w:qFormat/>
    <w:uiPriority w:val="0"/>
    <w:rPr>
      <w:rFonts w:ascii="Calibri" w:hAnsi="Calibri"/>
      <w:szCs w:val="22"/>
    </w:rPr>
  </w:style>
  <w:style w:type="paragraph" w:styleId="17">
    <w:name w:val="toc 7"/>
    <w:basedOn w:val="1"/>
    <w:next w:val="1"/>
    <w:qFormat/>
    <w:uiPriority w:val="39"/>
    <w:pPr>
      <w:widowControl w:val="0"/>
      <w:ind w:left="2520" w:leftChars="1200"/>
      <w:jc w:val="both"/>
    </w:pPr>
    <w:rPr>
      <w:rFonts w:ascii="Calibri" w:hAnsi="Calibri"/>
      <w:kern w:val="2"/>
      <w:szCs w:val="22"/>
    </w:rPr>
  </w:style>
  <w:style w:type="paragraph" w:styleId="18">
    <w:name w:val="caption"/>
    <w:basedOn w:val="1"/>
    <w:next w:val="1"/>
    <w:qFormat/>
    <w:uiPriority w:val="0"/>
    <w:rPr>
      <w:rFonts w:ascii="Cambria" w:hAnsi="Cambria" w:eastAsia="黑体"/>
      <w:sz w:val="20"/>
    </w:rPr>
  </w:style>
  <w:style w:type="paragraph" w:styleId="19">
    <w:name w:val="Document Map"/>
    <w:basedOn w:val="1"/>
    <w:link w:val="69"/>
    <w:qFormat/>
    <w:uiPriority w:val="0"/>
    <w:pPr>
      <w:widowControl w:val="0"/>
      <w:shd w:val="clear" w:color="auto" w:fill="000080"/>
      <w:jc w:val="both"/>
    </w:pPr>
    <w:rPr>
      <w:kern w:val="2"/>
    </w:rPr>
  </w:style>
  <w:style w:type="paragraph" w:styleId="20">
    <w:name w:val="annotation text"/>
    <w:basedOn w:val="1"/>
    <w:link w:val="70"/>
    <w:qFormat/>
    <w:uiPriority w:val="99"/>
  </w:style>
  <w:style w:type="paragraph" w:styleId="21">
    <w:name w:val="Body Text 3"/>
    <w:basedOn w:val="1"/>
    <w:link w:val="71"/>
    <w:qFormat/>
    <w:uiPriority w:val="0"/>
    <w:pPr>
      <w:spacing w:after="120"/>
    </w:pPr>
    <w:rPr>
      <w:sz w:val="16"/>
    </w:rPr>
  </w:style>
  <w:style w:type="paragraph" w:styleId="22">
    <w:name w:val="Closing"/>
    <w:basedOn w:val="1"/>
    <w:link w:val="72"/>
    <w:qFormat/>
    <w:locked/>
    <w:uiPriority w:val="0"/>
    <w:pPr>
      <w:widowControl w:val="0"/>
      <w:ind w:left="100" w:leftChars="2100"/>
      <w:jc w:val="both"/>
    </w:pPr>
    <w:rPr>
      <w:rFonts w:ascii="宋体" w:hAnsi="宋体"/>
      <w:color w:val="000000"/>
      <w:sz w:val="24"/>
    </w:rPr>
  </w:style>
  <w:style w:type="paragraph" w:styleId="23">
    <w:name w:val="Body Text Indent"/>
    <w:basedOn w:val="1"/>
    <w:link w:val="73"/>
    <w:qFormat/>
    <w:uiPriority w:val="0"/>
    <w:pPr>
      <w:spacing w:after="120"/>
      <w:ind w:left="420" w:leftChars="200"/>
    </w:pPr>
  </w:style>
  <w:style w:type="paragraph" w:styleId="24">
    <w:name w:val="Block Text"/>
    <w:basedOn w:val="1"/>
    <w:qFormat/>
    <w:locked/>
    <w:uiPriority w:val="0"/>
    <w:pPr>
      <w:widowControl w:val="0"/>
      <w:adjustRightInd w:val="0"/>
      <w:ind w:left="420" w:right="33"/>
      <w:textAlignment w:val="baseline"/>
    </w:pPr>
    <w:rPr>
      <w:sz w:val="24"/>
    </w:rPr>
  </w:style>
  <w:style w:type="paragraph" w:styleId="25">
    <w:name w:val="toc 5"/>
    <w:basedOn w:val="1"/>
    <w:next w:val="1"/>
    <w:qFormat/>
    <w:uiPriority w:val="39"/>
    <w:pPr>
      <w:widowControl w:val="0"/>
      <w:ind w:left="1680" w:leftChars="800"/>
      <w:jc w:val="both"/>
    </w:pPr>
    <w:rPr>
      <w:rFonts w:ascii="Calibri" w:hAnsi="Calibri"/>
      <w:kern w:val="2"/>
      <w:szCs w:val="22"/>
    </w:rPr>
  </w:style>
  <w:style w:type="paragraph" w:styleId="26">
    <w:name w:val="toc 3"/>
    <w:basedOn w:val="1"/>
    <w:next w:val="1"/>
    <w:qFormat/>
    <w:uiPriority w:val="39"/>
    <w:pPr>
      <w:ind w:left="840" w:leftChars="400"/>
    </w:pPr>
  </w:style>
  <w:style w:type="paragraph" w:styleId="27">
    <w:name w:val="toc 8"/>
    <w:basedOn w:val="1"/>
    <w:next w:val="1"/>
    <w:qFormat/>
    <w:uiPriority w:val="39"/>
    <w:pPr>
      <w:widowControl w:val="0"/>
      <w:ind w:left="2940" w:leftChars="1400"/>
      <w:jc w:val="both"/>
    </w:pPr>
    <w:rPr>
      <w:rFonts w:ascii="Calibri" w:hAnsi="Calibri"/>
      <w:kern w:val="2"/>
      <w:szCs w:val="22"/>
    </w:rPr>
  </w:style>
  <w:style w:type="paragraph" w:styleId="28">
    <w:name w:val="Date"/>
    <w:basedOn w:val="1"/>
    <w:next w:val="1"/>
    <w:link w:val="75"/>
    <w:qFormat/>
    <w:uiPriority w:val="0"/>
    <w:pPr>
      <w:widowControl w:val="0"/>
      <w:jc w:val="both"/>
    </w:pPr>
    <w:rPr>
      <w:rFonts w:ascii="楷体_GB2312" w:eastAsia="楷体_GB2312"/>
      <w:kern w:val="2"/>
      <w:sz w:val="28"/>
    </w:rPr>
  </w:style>
  <w:style w:type="paragraph" w:styleId="29">
    <w:name w:val="Body Text Indent 2"/>
    <w:basedOn w:val="1"/>
    <w:link w:val="76"/>
    <w:qFormat/>
    <w:uiPriority w:val="0"/>
    <w:pPr>
      <w:spacing w:after="120" w:line="480" w:lineRule="auto"/>
      <w:ind w:left="420" w:leftChars="200"/>
    </w:pPr>
  </w:style>
  <w:style w:type="paragraph" w:styleId="30">
    <w:name w:val="endnote text"/>
    <w:basedOn w:val="1"/>
    <w:link w:val="77"/>
    <w:qFormat/>
    <w:uiPriority w:val="99"/>
    <w:pPr>
      <w:widowControl w:val="0"/>
      <w:snapToGrid w:val="0"/>
    </w:pPr>
    <w:rPr>
      <w:rFonts w:ascii="Calibri" w:hAnsi="Calibri"/>
      <w:kern w:val="2"/>
      <w:sz w:val="22"/>
    </w:rPr>
  </w:style>
  <w:style w:type="paragraph" w:styleId="31">
    <w:name w:val="Balloon Text"/>
    <w:basedOn w:val="1"/>
    <w:link w:val="78"/>
    <w:qFormat/>
    <w:uiPriority w:val="99"/>
    <w:rPr>
      <w:sz w:val="18"/>
    </w:rPr>
  </w:style>
  <w:style w:type="paragraph" w:styleId="32">
    <w:name w:val="footer"/>
    <w:basedOn w:val="1"/>
    <w:link w:val="79"/>
    <w:qFormat/>
    <w:uiPriority w:val="99"/>
    <w:pPr>
      <w:tabs>
        <w:tab w:val="center" w:pos="4153"/>
        <w:tab w:val="right" w:pos="8306"/>
      </w:tabs>
      <w:snapToGrid w:val="0"/>
    </w:pPr>
    <w:rPr>
      <w:sz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tabs>
        <w:tab w:val="right" w:leader="dot" w:pos="9402"/>
      </w:tabs>
      <w:spacing w:line="360" w:lineRule="auto"/>
      <w:ind w:left="824" w:hanging="824"/>
      <w:jc w:val="center"/>
    </w:pPr>
    <w:rPr>
      <w:rFonts w:ascii="宋体"/>
    </w:rPr>
  </w:style>
  <w:style w:type="paragraph" w:styleId="35">
    <w:name w:val="toc 4"/>
    <w:basedOn w:val="1"/>
    <w:next w:val="1"/>
    <w:qFormat/>
    <w:uiPriority w:val="39"/>
    <w:pPr>
      <w:widowControl w:val="0"/>
      <w:ind w:left="1260" w:leftChars="600"/>
      <w:jc w:val="both"/>
    </w:pPr>
    <w:rPr>
      <w:rFonts w:ascii="Calibri" w:hAnsi="Calibri"/>
      <w:kern w:val="2"/>
      <w:szCs w:val="22"/>
    </w:rPr>
  </w:style>
  <w:style w:type="paragraph" w:styleId="36">
    <w:name w:val="index heading"/>
    <w:basedOn w:val="1"/>
    <w:next w:val="37"/>
    <w:qFormat/>
    <w:locked/>
    <w:uiPriority w:val="0"/>
    <w:pPr>
      <w:widowControl w:val="0"/>
      <w:jc w:val="both"/>
    </w:pPr>
    <w:rPr>
      <w:kern w:val="2"/>
    </w:rPr>
  </w:style>
  <w:style w:type="paragraph" w:styleId="37">
    <w:name w:val="index 1"/>
    <w:basedOn w:val="1"/>
    <w:next w:val="1"/>
    <w:unhideWhenUsed/>
    <w:qFormat/>
    <w:locked/>
    <w:uiPriority w:val="0"/>
  </w:style>
  <w:style w:type="paragraph" w:styleId="38">
    <w:name w:val="toc 6"/>
    <w:basedOn w:val="1"/>
    <w:next w:val="1"/>
    <w:qFormat/>
    <w:uiPriority w:val="39"/>
    <w:pPr>
      <w:widowControl w:val="0"/>
      <w:ind w:left="2100" w:leftChars="1000"/>
      <w:jc w:val="both"/>
    </w:pPr>
    <w:rPr>
      <w:rFonts w:ascii="Calibri" w:hAnsi="Calibri"/>
      <w:kern w:val="2"/>
      <w:szCs w:val="22"/>
    </w:rPr>
  </w:style>
  <w:style w:type="paragraph" w:styleId="39">
    <w:name w:val="Body Text Indent 3"/>
    <w:basedOn w:val="1"/>
    <w:link w:val="81"/>
    <w:qFormat/>
    <w:uiPriority w:val="0"/>
    <w:pPr>
      <w:spacing w:after="120"/>
      <w:ind w:left="420" w:leftChars="200"/>
    </w:pPr>
    <w:rPr>
      <w:sz w:val="16"/>
    </w:rPr>
  </w:style>
  <w:style w:type="paragraph" w:styleId="40">
    <w:name w:val="toc 2"/>
    <w:basedOn w:val="1"/>
    <w:next w:val="1"/>
    <w:qFormat/>
    <w:uiPriority w:val="39"/>
    <w:pPr>
      <w:tabs>
        <w:tab w:val="right" w:leader="dot" w:pos="9402"/>
      </w:tabs>
      <w:spacing w:line="360" w:lineRule="auto"/>
      <w:ind w:left="993" w:leftChars="202" w:hanging="569" w:hangingChars="237"/>
    </w:pPr>
  </w:style>
  <w:style w:type="paragraph" w:styleId="41">
    <w:name w:val="toc 9"/>
    <w:basedOn w:val="1"/>
    <w:next w:val="1"/>
    <w:qFormat/>
    <w:uiPriority w:val="39"/>
    <w:pPr>
      <w:widowControl w:val="0"/>
      <w:ind w:left="3360" w:leftChars="1600"/>
      <w:jc w:val="both"/>
    </w:pPr>
    <w:rPr>
      <w:rFonts w:ascii="Calibri" w:hAnsi="Calibri"/>
      <w:kern w:val="2"/>
      <w:szCs w:val="22"/>
    </w:rPr>
  </w:style>
  <w:style w:type="paragraph" w:styleId="42">
    <w:name w:val="Body Text 2"/>
    <w:basedOn w:val="1"/>
    <w:link w:val="82"/>
    <w:qFormat/>
    <w:uiPriority w:val="0"/>
    <w:pPr>
      <w:spacing w:after="120" w:line="480" w:lineRule="auto"/>
    </w:pPr>
  </w:style>
  <w:style w:type="paragraph" w:styleId="43">
    <w:name w:val="HTML Preformatted"/>
    <w:basedOn w:val="1"/>
    <w:link w:val="83"/>
    <w:qFormat/>
    <w:uiPriority w:val="0"/>
    <w:rPr>
      <w:rFonts w:ascii="黑体" w:hAnsi="Courier New" w:eastAsia="黑体"/>
    </w:rPr>
  </w:style>
  <w:style w:type="paragraph" w:styleId="44">
    <w:name w:val="Normal (Web)"/>
    <w:basedOn w:val="1"/>
    <w:qFormat/>
    <w:uiPriority w:val="99"/>
    <w:pPr>
      <w:spacing w:before="100" w:beforeAutospacing="1" w:after="100" w:afterAutospacing="1"/>
    </w:pPr>
    <w:rPr>
      <w:rFonts w:ascii="宋体" w:hAnsi="宋体" w:cs="宋体"/>
      <w:sz w:val="24"/>
      <w:szCs w:val="24"/>
    </w:rPr>
  </w:style>
  <w:style w:type="paragraph" w:styleId="45">
    <w:name w:val="Title"/>
    <w:basedOn w:val="1"/>
    <w:link w:val="84"/>
    <w:qFormat/>
    <w:locked/>
    <w:uiPriority w:val="0"/>
    <w:pPr>
      <w:widowControl w:val="0"/>
      <w:spacing w:before="240" w:after="60"/>
      <w:jc w:val="center"/>
      <w:outlineLvl w:val="0"/>
    </w:pPr>
    <w:rPr>
      <w:rFonts w:ascii="Arial" w:hAnsi="Arial"/>
      <w:b/>
      <w:bCs/>
      <w:sz w:val="32"/>
      <w:szCs w:val="32"/>
    </w:rPr>
  </w:style>
  <w:style w:type="paragraph" w:styleId="46">
    <w:name w:val="annotation subject"/>
    <w:basedOn w:val="20"/>
    <w:next w:val="20"/>
    <w:link w:val="85"/>
    <w:qFormat/>
    <w:uiPriority w:val="99"/>
    <w:rPr>
      <w:b/>
    </w:rPr>
  </w:style>
  <w:style w:type="paragraph" w:styleId="47">
    <w:name w:val="Body Text First Indent"/>
    <w:basedOn w:val="2"/>
    <w:link w:val="86"/>
    <w:qFormat/>
    <w:uiPriority w:val="0"/>
    <w:pPr>
      <w:widowControl w:val="0"/>
      <w:ind w:firstLine="420" w:firstLineChars="100"/>
      <w:jc w:val="both"/>
    </w:pPr>
    <w:rPr>
      <w:sz w:val="20"/>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cs="Times New Roman"/>
      <w:b/>
    </w:rPr>
  </w:style>
  <w:style w:type="character" w:styleId="52">
    <w:name w:val="endnote reference"/>
    <w:qFormat/>
    <w:uiPriority w:val="99"/>
    <w:rPr>
      <w:rFonts w:cs="Times New Roman"/>
      <w:vertAlign w:val="superscript"/>
    </w:rPr>
  </w:style>
  <w:style w:type="character" w:styleId="53">
    <w:name w:val="page number"/>
    <w:qFormat/>
    <w:uiPriority w:val="0"/>
    <w:rPr>
      <w:rFonts w:cs="Times New Roman"/>
    </w:rPr>
  </w:style>
  <w:style w:type="character" w:styleId="54">
    <w:name w:val="FollowedHyperlink"/>
    <w:qFormat/>
    <w:uiPriority w:val="0"/>
    <w:rPr>
      <w:rFonts w:cs="Times New Roman"/>
      <w:color w:val="800080"/>
      <w:u w:val="single"/>
    </w:rPr>
  </w:style>
  <w:style w:type="character" w:styleId="55">
    <w:name w:val="Emphasis"/>
    <w:qFormat/>
    <w:locked/>
    <w:uiPriority w:val="20"/>
    <w:rPr>
      <w:i/>
      <w:iCs/>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正文文本 字符"/>
    <w:link w:val="2"/>
    <w:qFormat/>
    <w:locked/>
    <w:uiPriority w:val="0"/>
    <w:rPr>
      <w:sz w:val="21"/>
    </w:rPr>
  </w:style>
  <w:style w:type="character" w:customStyle="1" w:styleId="59">
    <w:name w:val="标题 1 字符"/>
    <w:link w:val="6"/>
    <w:qFormat/>
    <w:locked/>
    <w:uiPriority w:val="0"/>
    <w:rPr>
      <w:b/>
      <w:kern w:val="44"/>
      <w:sz w:val="44"/>
    </w:rPr>
  </w:style>
  <w:style w:type="character" w:customStyle="1" w:styleId="60">
    <w:name w:val="标题 2 字符"/>
    <w:link w:val="7"/>
    <w:qFormat/>
    <w:locked/>
    <w:uiPriority w:val="0"/>
    <w:rPr>
      <w:rFonts w:ascii="宋体" w:hAnsi="Arial"/>
      <w:sz w:val="32"/>
    </w:rPr>
  </w:style>
  <w:style w:type="character" w:customStyle="1" w:styleId="61">
    <w:name w:val="标题 3 字符"/>
    <w:link w:val="8"/>
    <w:qFormat/>
    <w:locked/>
    <w:uiPriority w:val="0"/>
    <w:rPr>
      <w:rFonts w:ascii="宋体"/>
      <w:sz w:val="21"/>
    </w:rPr>
  </w:style>
  <w:style w:type="character" w:customStyle="1" w:styleId="62">
    <w:name w:val="标题 4 字符"/>
    <w:link w:val="9"/>
    <w:qFormat/>
    <w:locked/>
    <w:uiPriority w:val="0"/>
    <w:rPr>
      <w:rFonts w:ascii="宋体" w:hAnsi="Arial"/>
      <w:color w:val="000000"/>
      <w:sz w:val="21"/>
    </w:rPr>
  </w:style>
  <w:style w:type="character" w:customStyle="1" w:styleId="63">
    <w:name w:val="正文缩进 字符1"/>
    <w:link w:val="10"/>
    <w:qFormat/>
    <w:locked/>
    <w:uiPriority w:val="0"/>
    <w:rPr>
      <w:rFonts w:eastAsia="宋体"/>
      <w:sz w:val="21"/>
      <w:lang w:val="en-US" w:eastAsia="zh-CN"/>
    </w:rPr>
  </w:style>
  <w:style w:type="character" w:customStyle="1" w:styleId="64">
    <w:name w:val="标题 5 字符"/>
    <w:link w:val="12"/>
    <w:qFormat/>
    <w:locked/>
    <w:uiPriority w:val="0"/>
    <w:rPr>
      <w:rFonts w:ascii="宋体"/>
      <w:b/>
      <w:color w:val="000000"/>
      <w:sz w:val="28"/>
    </w:rPr>
  </w:style>
  <w:style w:type="character" w:customStyle="1" w:styleId="65">
    <w:name w:val="标题 6 字符"/>
    <w:link w:val="13"/>
    <w:qFormat/>
    <w:locked/>
    <w:uiPriority w:val="0"/>
    <w:rPr>
      <w:rFonts w:ascii="Arial" w:hAnsi="Arial" w:eastAsia="黑体"/>
      <w:b/>
      <w:color w:val="000000"/>
      <w:sz w:val="24"/>
    </w:rPr>
  </w:style>
  <w:style w:type="character" w:customStyle="1" w:styleId="66">
    <w:name w:val="标题 7 字符"/>
    <w:link w:val="14"/>
    <w:qFormat/>
    <w:locked/>
    <w:uiPriority w:val="0"/>
    <w:rPr>
      <w:rFonts w:ascii="宋体"/>
      <w:b/>
      <w:color w:val="000000"/>
      <w:sz w:val="24"/>
    </w:rPr>
  </w:style>
  <w:style w:type="character" w:customStyle="1" w:styleId="67">
    <w:name w:val="标题 8 字符"/>
    <w:link w:val="15"/>
    <w:qFormat/>
    <w:locked/>
    <w:uiPriority w:val="0"/>
    <w:rPr>
      <w:rFonts w:ascii="Arial" w:hAnsi="Arial" w:eastAsia="黑体"/>
      <w:color w:val="000000"/>
      <w:sz w:val="24"/>
    </w:rPr>
  </w:style>
  <w:style w:type="character" w:customStyle="1" w:styleId="68">
    <w:name w:val="标题 9 字符"/>
    <w:link w:val="16"/>
    <w:qFormat/>
    <w:locked/>
    <w:uiPriority w:val="0"/>
    <w:rPr>
      <w:rFonts w:ascii="Arial" w:hAnsi="Arial" w:eastAsia="黑体"/>
      <w:color w:val="000000"/>
      <w:sz w:val="21"/>
    </w:rPr>
  </w:style>
  <w:style w:type="character" w:customStyle="1" w:styleId="69">
    <w:name w:val="文档结构图 字符"/>
    <w:link w:val="19"/>
    <w:qFormat/>
    <w:locked/>
    <w:uiPriority w:val="0"/>
    <w:rPr>
      <w:kern w:val="2"/>
      <w:sz w:val="21"/>
      <w:shd w:val="clear" w:color="auto" w:fill="000080"/>
    </w:rPr>
  </w:style>
  <w:style w:type="character" w:customStyle="1" w:styleId="70">
    <w:name w:val="批注文字 字符"/>
    <w:link w:val="20"/>
    <w:qFormat/>
    <w:locked/>
    <w:uiPriority w:val="99"/>
    <w:rPr>
      <w:sz w:val="21"/>
    </w:rPr>
  </w:style>
  <w:style w:type="character" w:customStyle="1" w:styleId="71">
    <w:name w:val="正文文本 3 字符"/>
    <w:link w:val="21"/>
    <w:qFormat/>
    <w:locked/>
    <w:uiPriority w:val="0"/>
    <w:rPr>
      <w:sz w:val="16"/>
    </w:rPr>
  </w:style>
  <w:style w:type="character" w:customStyle="1" w:styleId="72">
    <w:name w:val="结束语 字符"/>
    <w:link w:val="22"/>
    <w:qFormat/>
    <w:uiPriority w:val="0"/>
    <w:rPr>
      <w:rFonts w:ascii="宋体" w:hAnsi="宋体"/>
      <w:color w:val="000000"/>
      <w:sz w:val="24"/>
    </w:rPr>
  </w:style>
  <w:style w:type="character" w:customStyle="1" w:styleId="73">
    <w:name w:val="正文文本缩进 字符"/>
    <w:link w:val="23"/>
    <w:qFormat/>
    <w:locked/>
    <w:uiPriority w:val="0"/>
    <w:rPr>
      <w:sz w:val="21"/>
    </w:rPr>
  </w:style>
  <w:style w:type="character" w:customStyle="1" w:styleId="74">
    <w:name w:val="纯文本 字符"/>
    <w:qFormat/>
    <w:locked/>
    <w:uiPriority w:val="0"/>
    <w:rPr>
      <w:rFonts w:ascii="宋体" w:hAnsi="Courier New" w:eastAsia="宋体"/>
      <w:sz w:val="21"/>
      <w:lang w:val="en-US" w:eastAsia="zh-CN"/>
    </w:rPr>
  </w:style>
  <w:style w:type="character" w:customStyle="1" w:styleId="75">
    <w:name w:val="日期 字符"/>
    <w:link w:val="28"/>
    <w:qFormat/>
    <w:locked/>
    <w:uiPriority w:val="0"/>
    <w:rPr>
      <w:rFonts w:ascii="楷体_GB2312" w:eastAsia="楷体_GB2312"/>
      <w:kern w:val="2"/>
      <w:sz w:val="28"/>
    </w:rPr>
  </w:style>
  <w:style w:type="character" w:customStyle="1" w:styleId="76">
    <w:name w:val="正文文本缩进 2 字符"/>
    <w:link w:val="29"/>
    <w:qFormat/>
    <w:locked/>
    <w:uiPriority w:val="0"/>
    <w:rPr>
      <w:sz w:val="21"/>
    </w:rPr>
  </w:style>
  <w:style w:type="character" w:customStyle="1" w:styleId="77">
    <w:name w:val="尾注文本 字符"/>
    <w:link w:val="30"/>
    <w:qFormat/>
    <w:locked/>
    <w:uiPriority w:val="99"/>
    <w:rPr>
      <w:rFonts w:ascii="Calibri" w:hAnsi="Calibri"/>
      <w:kern w:val="2"/>
      <w:sz w:val="22"/>
    </w:rPr>
  </w:style>
  <w:style w:type="character" w:customStyle="1" w:styleId="78">
    <w:name w:val="批注框文本 字符"/>
    <w:link w:val="31"/>
    <w:qFormat/>
    <w:locked/>
    <w:uiPriority w:val="99"/>
    <w:rPr>
      <w:rFonts w:eastAsia="宋体"/>
      <w:sz w:val="18"/>
      <w:lang w:val="en-US" w:eastAsia="zh-CN"/>
    </w:rPr>
  </w:style>
  <w:style w:type="character" w:customStyle="1" w:styleId="79">
    <w:name w:val="页脚 字符1"/>
    <w:link w:val="32"/>
    <w:qFormat/>
    <w:locked/>
    <w:uiPriority w:val="99"/>
    <w:rPr>
      <w:sz w:val="18"/>
    </w:rPr>
  </w:style>
  <w:style w:type="character" w:customStyle="1" w:styleId="80">
    <w:name w:val="页眉 字符"/>
    <w:link w:val="33"/>
    <w:qFormat/>
    <w:locked/>
    <w:uiPriority w:val="99"/>
    <w:rPr>
      <w:sz w:val="18"/>
    </w:rPr>
  </w:style>
  <w:style w:type="character" w:customStyle="1" w:styleId="81">
    <w:name w:val="正文文本缩进 3 字符"/>
    <w:link w:val="39"/>
    <w:qFormat/>
    <w:locked/>
    <w:uiPriority w:val="0"/>
    <w:rPr>
      <w:sz w:val="16"/>
    </w:rPr>
  </w:style>
  <w:style w:type="character" w:customStyle="1" w:styleId="82">
    <w:name w:val="正文文本 2 字符"/>
    <w:link w:val="42"/>
    <w:qFormat/>
    <w:locked/>
    <w:uiPriority w:val="0"/>
    <w:rPr>
      <w:sz w:val="21"/>
    </w:rPr>
  </w:style>
  <w:style w:type="character" w:customStyle="1" w:styleId="83">
    <w:name w:val="HTML 预设格式 字符"/>
    <w:link w:val="43"/>
    <w:qFormat/>
    <w:locked/>
    <w:uiPriority w:val="0"/>
    <w:rPr>
      <w:rFonts w:ascii="黑体" w:hAnsi="Courier New" w:eastAsia="黑体"/>
      <w:sz w:val="21"/>
    </w:rPr>
  </w:style>
  <w:style w:type="character" w:customStyle="1" w:styleId="84">
    <w:name w:val="标题 字符"/>
    <w:link w:val="45"/>
    <w:qFormat/>
    <w:uiPriority w:val="0"/>
    <w:rPr>
      <w:rFonts w:ascii="Arial" w:hAnsi="Arial"/>
      <w:b/>
      <w:bCs/>
      <w:sz w:val="32"/>
      <w:szCs w:val="32"/>
    </w:rPr>
  </w:style>
  <w:style w:type="character" w:customStyle="1" w:styleId="85">
    <w:name w:val="批注主题 字符"/>
    <w:link w:val="46"/>
    <w:qFormat/>
    <w:locked/>
    <w:uiPriority w:val="99"/>
    <w:rPr>
      <w:b/>
      <w:sz w:val="21"/>
    </w:rPr>
  </w:style>
  <w:style w:type="character" w:customStyle="1" w:styleId="86">
    <w:name w:val="正文文本首行缩进 字符"/>
    <w:link w:val="47"/>
    <w:qFormat/>
    <w:uiPriority w:val="0"/>
    <w:rPr>
      <w:szCs w:val="24"/>
    </w:rPr>
  </w:style>
  <w:style w:type="character" w:customStyle="1" w:styleId="87">
    <w:name w:val="font21"/>
    <w:qFormat/>
    <w:uiPriority w:val="0"/>
    <w:rPr>
      <w:rFonts w:hint="eastAsia" w:ascii="宋体" w:hAnsi="宋体" w:eastAsia="宋体" w:cs="宋体"/>
      <w:b/>
      <w:color w:val="000000"/>
      <w:sz w:val="20"/>
      <w:szCs w:val="20"/>
      <w:u w:val="none"/>
    </w:rPr>
  </w:style>
  <w:style w:type="character" w:customStyle="1" w:styleId="88">
    <w:name w:val="wf1"/>
    <w:qFormat/>
    <w:uiPriority w:val="0"/>
    <w:rPr>
      <w:rFonts w:ascii="宋体" w:hAnsi="宋体" w:eastAsia="宋体"/>
      <w:sz w:val="24"/>
    </w:rPr>
  </w:style>
  <w:style w:type="character" w:customStyle="1" w:styleId="89">
    <w:name w:val="页脚 字符"/>
    <w:qFormat/>
    <w:uiPriority w:val="99"/>
  </w:style>
  <w:style w:type="character" w:customStyle="1" w:styleId="90">
    <w:name w:val="apple-style-span"/>
    <w:qFormat/>
    <w:uiPriority w:val="0"/>
    <w:rPr>
      <w:rFonts w:cs="Times New Roman"/>
    </w:rPr>
  </w:style>
  <w:style w:type="character" w:customStyle="1" w:styleId="91">
    <w:name w:val="font41"/>
    <w:qFormat/>
    <w:uiPriority w:val="0"/>
    <w:rPr>
      <w:rFonts w:hint="eastAsia" w:ascii="宋体" w:hAnsi="宋体" w:eastAsia="宋体" w:cs="宋体"/>
      <w:color w:val="000000"/>
      <w:sz w:val="20"/>
      <w:szCs w:val="20"/>
      <w:u w:val="none"/>
    </w:rPr>
  </w:style>
  <w:style w:type="character" w:customStyle="1" w:styleId="92">
    <w:name w:val="列出段落 Char"/>
    <w:link w:val="93"/>
    <w:qFormat/>
    <w:locked/>
    <w:uiPriority w:val="0"/>
    <w:rPr>
      <w:rFonts w:ascii="宋体" w:eastAsia="宋体"/>
      <w:sz w:val="24"/>
    </w:rPr>
  </w:style>
  <w:style w:type="paragraph" w:customStyle="1" w:styleId="93">
    <w:name w:val="列出段落1"/>
    <w:basedOn w:val="1"/>
    <w:link w:val="92"/>
    <w:qFormat/>
    <w:uiPriority w:val="0"/>
    <w:pPr>
      <w:ind w:firstLine="420" w:firstLineChars="200"/>
    </w:pPr>
    <w:rPr>
      <w:rFonts w:ascii="宋体"/>
      <w:sz w:val="24"/>
    </w:rPr>
  </w:style>
  <w:style w:type="character" w:customStyle="1" w:styleId="94">
    <w:name w:val="0正文 Char Char"/>
    <w:link w:val="95"/>
    <w:qFormat/>
    <w:locked/>
    <w:uiPriority w:val="99"/>
    <w:rPr>
      <w:rFonts w:ascii="宋体" w:hAnsi="Calibri"/>
      <w:sz w:val="21"/>
      <w:szCs w:val="21"/>
    </w:rPr>
  </w:style>
  <w:style w:type="paragraph" w:customStyle="1" w:styleId="95">
    <w:name w:val="0正文"/>
    <w:basedOn w:val="96"/>
    <w:link w:val="94"/>
    <w:qFormat/>
    <w:uiPriority w:val="99"/>
    <w:pPr>
      <w:adjustRightInd w:val="0"/>
      <w:spacing w:line="360" w:lineRule="auto"/>
      <w:ind w:firstLine="420" w:firstLineChars="200"/>
      <w:textAlignment w:val="baseline"/>
    </w:pPr>
    <w:rPr>
      <w:rFonts w:ascii="宋体" w:hAnsi="Calibri"/>
      <w:kern w:val="0"/>
      <w:szCs w:val="21"/>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apple-converted-space"/>
    <w:qFormat/>
    <w:uiPriority w:val="0"/>
  </w:style>
  <w:style w:type="character" w:customStyle="1" w:styleId="98">
    <w:name w:val="Char Char1"/>
    <w:qFormat/>
    <w:uiPriority w:val="0"/>
    <w:rPr>
      <w:sz w:val="21"/>
    </w:rPr>
  </w:style>
  <w:style w:type="character" w:customStyle="1" w:styleId="99">
    <w:name w:val="正文首行缩进 Char1"/>
    <w:qFormat/>
    <w:uiPriority w:val="0"/>
    <w:rPr>
      <w:kern w:val="0"/>
      <w:sz w:val="21"/>
      <w:szCs w:val="20"/>
    </w:rPr>
  </w:style>
  <w:style w:type="character" w:customStyle="1" w:styleId="100">
    <w:name w:val="Char Char23"/>
    <w:qFormat/>
    <w:uiPriority w:val="0"/>
    <w:rPr>
      <w:rFonts w:ascii="宋体" w:cs="宋体"/>
      <w:sz w:val="21"/>
    </w:rPr>
  </w:style>
  <w:style w:type="character" w:customStyle="1" w:styleId="101">
    <w:name w:val="10"/>
    <w:qFormat/>
    <w:uiPriority w:val="0"/>
    <w:rPr>
      <w:rFonts w:hint="default" w:ascii="Calibri" w:hAnsi="Calibri" w:cs="Calibri"/>
    </w:rPr>
  </w:style>
  <w:style w:type="character" w:customStyle="1" w:styleId="102">
    <w:name w:val="HTML 预设格式 Char"/>
    <w:qFormat/>
    <w:uiPriority w:val="0"/>
    <w:rPr>
      <w:rFonts w:ascii="黑体" w:hAnsi="Courier New" w:eastAsia="黑体"/>
      <w:sz w:val="21"/>
    </w:rPr>
  </w:style>
  <w:style w:type="character" w:customStyle="1" w:styleId="103">
    <w:name w:val="标题 Char1"/>
    <w:qFormat/>
    <w:uiPriority w:val="10"/>
    <w:rPr>
      <w:rFonts w:ascii="Cambria" w:hAnsi="Cambria" w:cs="Times New Roman"/>
      <w:b/>
      <w:bCs/>
      <w:kern w:val="0"/>
      <w:sz w:val="32"/>
      <w:szCs w:val="32"/>
    </w:rPr>
  </w:style>
  <w:style w:type="character" w:customStyle="1" w:styleId="104">
    <w:name w:val="正文缩进 字符"/>
    <w:qFormat/>
    <w:uiPriority w:val="0"/>
    <w:rPr>
      <w:rFonts w:eastAsia="宋体"/>
      <w:kern w:val="2"/>
      <w:sz w:val="21"/>
      <w:lang w:val="en-US" w:eastAsia="zh-CN" w:bidi="ar-SA"/>
    </w:rPr>
  </w:style>
  <w:style w:type="character" w:customStyle="1" w:styleId="105">
    <w:name w:val="结束语 Char1"/>
    <w:semiHidden/>
    <w:qFormat/>
    <w:uiPriority w:val="99"/>
    <w:rPr>
      <w:kern w:val="0"/>
      <w:szCs w:val="20"/>
    </w:rPr>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style4"/>
    <w:qFormat/>
    <w:uiPriority w:val="0"/>
  </w:style>
  <w:style w:type="character" w:customStyle="1" w:styleId="108">
    <w:name w:val="ll1"/>
    <w:qFormat/>
    <w:uiPriority w:val="0"/>
    <w:rPr>
      <w:spacing w:val="31680"/>
    </w:rPr>
  </w:style>
  <w:style w:type="character" w:customStyle="1" w:styleId="109">
    <w:name w:val="p141"/>
    <w:qFormat/>
    <w:uiPriority w:val="0"/>
    <w:rPr>
      <w:sz w:val="21"/>
    </w:rPr>
  </w:style>
  <w:style w:type="character" w:customStyle="1" w:styleId="110">
    <w:name w:val="style1"/>
    <w:qFormat/>
    <w:uiPriority w:val="0"/>
    <w:rPr>
      <w:rFonts w:cs="Times New Roman"/>
    </w:rPr>
  </w:style>
  <w:style w:type="paragraph" w:customStyle="1" w:styleId="111">
    <w:name w:val="Char12"/>
    <w:basedOn w:val="1"/>
    <w:qFormat/>
    <w:uiPriority w:val="0"/>
    <w:pPr>
      <w:widowControl w:val="0"/>
      <w:jc w:val="both"/>
    </w:pPr>
    <w:rPr>
      <w:kern w:val="2"/>
    </w:rPr>
  </w:style>
  <w:style w:type="paragraph" w:customStyle="1" w:styleId="112">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13">
    <w:name w:val="Char11"/>
    <w:basedOn w:val="1"/>
    <w:qFormat/>
    <w:uiPriority w:val="99"/>
    <w:pPr>
      <w:widowControl w:val="0"/>
      <w:jc w:val="both"/>
    </w:pPr>
    <w:rPr>
      <w:rFonts w:ascii="Tahoma" w:hAnsi="Tahoma"/>
      <w:kern w:val="2"/>
      <w:sz w:val="24"/>
    </w:rPr>
  </w:style>
  <w:style w:type="paragraph" w:customStyle="1" w:styleId="114">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5">
    <w:name w:val="Char1 Char Char Char1"/>
    <w:basedOn w:val="1"/>
    <w:qFormat/>
    <w:uiPriority w:val="0"/>
    <w:pPr>
      <w:widowControl w:val="0"/>
      <w:ind w:left="420" w:hanging="420"/>
      <w:jc w:val="both"/>
    </w:pPr>
    <w:rPr>
      <w:kern w:val="2"/>
      <w:sz w:val="24"/>
      <w:szCs w:val="24"/>
    </w:rPr>
  </w:style>
  <w:style w:type="paragraph" w:customStyle="1" w:styleId="116">
    <w:name w:val="_Style 116"/>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117">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11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19">
    <w:name w:val="TOC Heading1"/>
    <w:basedOn w:val="6"/>
    <w:next w:val="1"/>
    <w:qFormat/>
    <w:uiPriority w:val="99"/>
    <w:pPr>
      <w:spacing w:before="480" w:after="0" w:line="276" w:lineRule="auto"/>
      <w:outlineLvl w:val="9"/>
    </w:pPr>
    <w:rPr>
      <w:rFonts w:ascii="Cambria" w:hAnsi="Cambria"/>
      <w:color w:val="365F91"/>
      <w:kern w:val="0"/>
      <w:sz w:val="28"/>
      <w:szCs w:val="28"/>
    </w:rPr>
  </w:style>
  <w:style w:type="paragraph" w:customStyle="1" w:styleId="120">
    <w:name w:val="需求书2"/>
    <w:basedOn w:val="1"/>
    <w:qFormat/>
    <w:uiPriority w:val="0"/>
    <w:pPr>
      <w:widowControl w:val="0"/>
      <w:jc w:val="both"/>
    </w:pPr>
    <w:rPr>
      <w:rFonts w:ascii="宋体" w:hAnsi="宋体"/>
      <w:b/>
      <w:spacing w:val="10"/>
      <w:kern w:val="2"/>
      <w:sz w:val="24"/>
      <w:szCs w:val="24"/>
    </w:rPr>
  </w:style>
  <w:style w:type="paragraph" w:customStyle="1" w:styleId="121">
    <w:name w:val="Char Char Char Char1"/>
    <w:basedOn w:val="1"/>
    <w:qFormat/>
    <w:uiPriority w:val="0"/>
    <w:pPr>
      <w:tabs>
        <w:tab w:val="left" w:pos="965"/>
      </w:tabs>
      <w:spacing w:after="160" w:line="240" w:lineRule="exact"/>
      <w:ind w:left="965" w:hanging="425"/>
    </w:pPr>
    <w:rPr>
      <w:rFonts w:ascii="Verdana" w:hAnsi="Verdana"/>
      <w:lang w:eastAsia="en-US"/>
    </w:rPr>
  </w:style>
  <w:style w:type="paragraph" w:customStyle="1" w:styleId="122">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3">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2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25">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26">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27">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128">
    <w:name w:val="标题四"/>
    <w:basedOn w:val="1"/>
    <w:qFormat/>
    <w:uiPriority w:val="0"/>
    <w:pPr>
      <w:widowControl w:val="0"/>
      <w:tabs>
        <w:tab w:val="left" w:pos="425"/>
      </w:tabs>
      <w:adjustRightInd w:val="0"/>
      <w:spacing w:beforeLines="50" w:afterLines="50"/>
      <w:jc w:val="both"/>
    </w:pPr>
    <w:rPr>
      <w:rFonts w:ascii="Arial" w:hAnsi="Arial"/>
      <w:b/>
      <w:bCs/>
      <w:sz w:val="24"/>
      <w:szCs w:val="24"/>
    </w:rPr>
  </w:style>
  <w:style w:type="paragraph" w:customStyle="1" w:styleId="129">
    <w:name w:val="font0"/>
    <w:basedOn w:val="1"/>
    <w:qFormat/>
    <w:uiPriority w:val="0"/>
    <w:pPr>
      <w:spacing w:before="100" w:beforeAutospacing="1" w:after="100" w:afterAutospacing="1"/>
    </w:pPr>
    <w:rPr>
      <w:rFonts w:ascii="宋体" w:hAnsi="宋体" w:cs="宋体"/>
      <w:sz w:val="24"/>
      <w:szCs w:val="24"/>
    </w:rPr>
  </w:style>
  <w:style w:type="paragraph" w:customStyle="1" w:styleId="130">
    <w:name w:val="msolistparagraph"/>
    <w:basedOn w:val="1"/>
    <w:qFormat/>
    <w:uiPriority w:val="0"/>
    <w:pPr>
      <w:spacing w:before="100" w:beforeAutospacing="1" w:after="100" w:afterAutospacing="1"/>
    </w:pPr>
    <w:rPr>
      <w:rFonts w:ascii="宋体" w:hAnsi="宋体" w:cs="宋体"/>
      <w:sz w:val="24"/>
      <w:szCs w:val="24"/>
    </w:rPr>
  </w:style>
  <w:style w:type="paragraph" w:customStyle="1" w:styleId="131">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2">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33">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3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35">
    <w:name w:val="TOAHeading"/>
    <w:basedOn w:val="1"/>
    <w:next w:val="1"/>
    <w:qFormat/>
    <w:uiPriority w:val="0"/>
    <w:pPr>
      <w:spacing w:before="120" w:line="240" w:lineRule="auto"/>
      <w:jc w:val="both"/>
      <w:textAlignment w:val="baseline"/>
    </w:pPr>
    <w:rPr>
      <w:rFonts w:ascii="Arial" w:hAnsi="Arial"/>
      <w:kern w:val="2"/>
      <w:sz w:val="24"/>
      <w:szCs w:val="24"/>
    </w:rPr>
  </w:style>
  <w:style w:type="paragraph" w:customStyle="1" w:styleId="13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13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38">
    <w:name w:val="xl65"/>
    <w:basedOn w:val="1"/>
    <w:qFormat/>
    <w:uiPriority w:val="0"/>
    <w:pPr>
      <w:spacing w:before="100" w:beforeAutospacing="1" w:after="100" w:afterAutospacing="1"/>
    </w:pPr>
    <w:rPr>
      <w:rFonts w:ascii="宋体" w:hAnsi="宋体" w:cs="宋体"/>
      <w:sz w:val="24"/>
      <w:szCs w:val="24"/>
    </w:rPr>
  </w:style>
  <w:style w:type="paragraph" w:customStyle="1" w:styleId="139">
    <w:name w:val="c03"/>
    <w:basedOn w:val="1"/>
    <w:qFormat/>
    <w:uiPriority w:val="0"/>
    <w:pPr>
      <w:spacing w:before="100" w:beforeAutospacing="1" w:after="100" w:afterAutospacing="1"/>
    </w:pPr>
    <w:rPr>
      <w:rFonts w:ascii="宋体" w:hAnsi="宋体"/>
      <w:color w:val="000000"/>
      <w:sz w:val="24"/>
      <w:szCs w:val="24"/>
    </w:rPr>
  </w:style>
  <w:style w:type="paragraph" w:customStyle="1" w:styleId="140">
    <w:name w:val="Revision1"/>
    <w:semiHidden/>
    <w:qFormat/>
    <w:uiPriority w:val="99"/>
    <w:rPr>
      <w:rFonts w:ascii="Times New Roman" w:hAnsi="Times New Roman" w:eastAsia="宋体" w:cs="Times New Roman"/>
      <w:sz w:val="21"/>
      <w:lang w:val="en-US" w:eastAsia="zh-CN" w:bidi="ar-SA"/>
    </w:rPr>
  </w:style>
  <w:style w:type="paragraph" w:customStyle="1" w:styleId="141">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2">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3">
    <w:name w:val="Table Paragraph"/>
    <w:basedOn w:val="1"/>
    <w:unhideWhenUsed/>
    <w:qFormat/>
    <w:uiPriority w:val="1"/>
    <w:pPr>
      <w:spacing w:beforeLines="0" w:afterLines="0"/>
    </w:pPr>
    <w:rPr>
      <w:rFonts w:hint="default"/>
      <w:sz w:val="24"/>
    </w:rPr>
  </w:style>
  <w:style w:type="paragraph" w:customStyle="1" w:styleId="144">
    <w:name w:val="Char Char Char Char Char1 Char1"/>
    <w:basedOn w:val="1"/>
    <w:qFormat/>
    <w:uiPriority w:val="0"/>
    <w:pPr>
      <w:widowControl w:val="0"/>
      <w:jc w:val="both"/>
    </w:pPr>
    <w:rPr>
      <w:rFonts w:ascii="Tahoma" w:hAnsi="Tahoma"/>
      <w:kern w:val="2"/>
      <w:sz w:val="24"/>
    </w:rPr>
  </w:style>
  <w:style w:type="paragraph" w:customStyle="1" w:styleId="145">
    <w:name w:val="font8"/>
    <w:basedOn w:val="1"/>
    <w:qFormat/>
    <w:uiPriority w:val="0"/>
    <w:pPr>
      <w:spacing w:before="100" w:beforeAutospacing="1" w:after="100" w:afterAutospacing="1"/>
    </w:pPr>
    <w:rPr>
      <w:b/>
      <w:bCs/>
      <w:sz w:val="36"/>
      <w:szCs w:val="36"/>
    </w:rPr>
  </w:style>
  <w:style w:type="paragraph" w:customStyle="1" w:styleId="146">
    <w:name w:val="题注5"/>
    <w:basedOn w:val="1"/>
    <w:next w:val="18"/>
    <w:qFormat/>
    <w:uiPriority w:val="0"/>
    <w:pPr>
      <w:widowControl w:val="0"/>
      <w:jc w:val="center"/>
    </w:pPr>
    <w:rPr>
      <w:b/>
      <w:color w:val="000000"/>
      <w:kern w:val="2"/>
      <w:sz w:val="24"/>
      <w:szCs w:val="21"/>
    </w:rPr>
  </w:style>
  <w:style w:type="paragraph" w:customStyle="1" w:styleId="147">
    <w:name w:val="1"/>
    <w:basedOn w:val="1"/>
    <w:qFormat/>
    <w:uiPriority w:val="0"/>
    <w:pPr>
      <w:widowControl w:val="0"/>
      <w:jc w:val="both"/>
    </w:pPr>
    <w:rPr>
      <w:rFonts w:ascii="宋体" w:hAnsi="Courier New"/>
      <w:kern w:val="2"/>
    </w:rPr>
  </w:style>
  <w:style w:type="paragraph" w:customStyle="1" w:styleId="148">
    <w:name w:val="Char3"/>
    <w:basedOn w:val="1"/>
    <w:qFormat/>
    <w:uiPriority w:val="0"/>
    <w:pPr>
      <w:widowControl w:val="0"/>
      <w:jc w:val="both"/>
    </w:pPr>
    <w:rPr>
      <w:rFonts w:ascii="Tahoma" w:hAnsi="Tahoma"/>
      <w:kern w:val="2"/>
      <w:sz w:val="24"/>
    </w:rPr>
  </w:style>
  <w:style w:type="paragraph" w:customStyle="1" w:styleId="149">
    <w:name w:val="blacklk"/>
    <w:basedOn w:val="1"/>
    <w:qFormat/>
    <w:uiPriority w:val="0"/>
    <w:pPr>
      <w:spacing w:before="100" w:beforeAutospacing="1" w:after="100" w:afterAutospacing="1"/>
    </w:pPr>
    <w:rPr>
      <w:rFonts w:ascii="宋体" w:hAnsi="宋体" w:cs="宋体"/>
      <w:sz w:val="24"/>
      <w:szCs w:val="24"/>
    </w:rPr>
  </w:style>
  <w:style w:type="paragraph" w:customStyle="1" w:styleId="15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1">
    <w:name w:val="Char Char Char Char"/>
    <w:basedOn w:val="1"/>
    <w:qFormat/>
    <w:uiPriority w:val="99"/>
    <w:pPr>
      <w:tabs>
        <w:tab w:val="left" w:pos="965"/>
      </w:tabs>
      <w:spacing w:after="160" w:line="240" w:lineRule="exact"/>
      <w:ind w:left="965" w:hanging="425"/>
    </w:pPr>
    <w:rPr>
      <w:rFonts w:ascii="Verdana" w:hAnsi="Verdana"/>
      <w:lang w:eastAsia="en-US"/>
    </w:rPr>
  </w:style>
  <w:style w:type="paragraph" w:customStyle="1" w:styleId="152">
    <w:name w:val="Char Char Char Char Char Char Char Char Char Char"/>
    <w:basedOn w:val="1"/>
    <w:qFormat/>
    <w:uiPriority w:val="0"/>
    <w:pPr>
      <w:widowControl w:val="0"/>
      <w:jc w:val="both"/>
    </w:pPr>
    <w:rPr>
      <w:rFonts w:ascii="Tahoma" w:hAnsi="Tahoma"/>
      <w:kern w:val="2"/>
      <w:sz w:val="24"/>
    </w:rPr>
  </w:style>
  <w:style w:type="paragraph" w:customStyle="1" w:styleId="15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54">
    <w:name w:val="xl66"/>
    <w:basedOn w:val="1"/>
    <w:qFormat/>
    <w:uiPriority w:val="0"/>
    <w:pPr>
      <w:spacing w:before="100" w:beforeAutospacing="1" w:after="100" w:afterAutospacing="1"/>
      <w:jc w:val="center"/>
    </w:pPr>
    <w:rPr>
      <w:rFonts w:ascii="宋体" w:hAnsi="宋体" w:cs="宋体"/>
      <w:sz w:val="24"/>
      <w:szCs w:val="24"/>
    </w:rPr>
  </w:style>
  <w:style w:type="paragraph" w:customStyle="1" w:styleId="155">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18"/>
      <w:szCs w:val="18"/>
    </w:rPr>
  </w:style>
  <w:style w:type="paragraph" w:customStyle="1" w:styleId="15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57">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5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Char1 Char Char Char"/>
    <w:basedOn w:val="1"/>
    <w:qFormat/>
    <w:uiPriority w:val="99"/>
    <w:pPr>
      <w:widowControl w:val="0"/>
      <w:ind w:left="420" w:hanging="420"/>
      <w:jc w:val="both"/>
    </w:pPr>
    <w:rPr>
      <w:kern w:val="2"/>
      <w:sz w:val="24"/>
      <w:szCs w:val="24"/>
    </w:rPr>
  </w:style>
  <w:style w:type="paragraph" w:customStyle="1" w:styleId="16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1">
    <w:name w:val="font5"/>
    <w:basedOn w:val="1"/>
    <w:qFormat/>
    <w:uiPriority w:val="0"/>
    <w:pPr>
      <w:spacing w:before="100" w:beforeAutospacing="1" w:after="100" w:afterAutospacing="1"/>
    </w:pPr>
    <w:rPr>
      <w:rFonts w:ascii="宋体" w:hAnsi="宋体" w:cs="宋体"/>
      <w:sz w:val="18"/>
      <w:szCs w:val="18"/>
    </w:rPr>
  </w:style>
  <w:style w:type="paragraph" w:customStyle="1" w:styleId="162">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63">
    <w:name w:val="Char2"/>
    <w:basedOn w:val="1"/>
    <w:qFormat/>
    <w:uiPriority w:val="0"/>
    <w:rPr>
      <w:rFonts w:ascii="Tahoma" w:hAnsi="Tahoma"/>
      <w:sz w:val="24"/>
    </w:rPr>
  </w:style>
  <w:style w:type="paragraph" w:customStyle="1" w:styleId="164">
    <w:name w:val="表头"/>
    <w:basedOn w:val="18"/>
    <w:qFormat/>
    <w:uiPriority w:val="0"/>
    <w:pPr>
      <w:keepNext/>
      <w:keepLines/>
      <w:spacing w:before="120" w:after="120" w:line="300" w:lineRule="auto"/>
      <w:jc w:val="center"/>
      <w:textAlignment w:val="baseline"/>
    </w:pPr>
    <w:rPr>
      <w:rFonts w:ascii="Arial" w:hAnsi="Arial"/>
      <w:sz w:val="21"/>
    </w:rPr>
  </w:style>
  <w:style w:type="paragraph" w:customStyle="1" w:styleId="165">
    <w:name w:val="样式 小四正文 + 首行缩进:  2 字符 段前: 0.5 行"/>
    <w:basedOn w:val="96"/>
    <w:qFormat/>
    <w:uiPriority w:val="99"/>
    <w:pPr>
      <w:spacing w:beforeLines="50" w:line="360" w:lineRule="auto"/>
      <w:ind w:firstLine="200" w:firstLineChars="200"/>
    </w:pPr>
    <w:rPr>
      <w:rFonts w:ascii="宋体" w:hAnsi="宋体" w:cs="宋体"/>
      <w:sz w:val="24"/>
    </w:rPr>
  </w:style>
  <w:style w:type="paragraph" w:customStyle="1" w:styleId="166">
    <w:name w:val="font7"/>
    <w:basedOn w:val="1"/>
    <w:qFormat/>
    <w:uiPriority w:val="0"/>
    <w:pPr>
      <w:spacing w:before="100" w:beforeAutospacing="1" w:after="100" w:afterAutospacing="1"/>
    </w:pPr>
    <w:rPr>
      <w:rFonts w:ascii="宋体" w:hAnsi="宋体" w:cs="宋体"/>
      <w:b/>
      <w:bCs/>
      <w:sz w:val="36"/>
      <w:szCs w:val="36"/>
    </w:rPr>
  </w:style>
  <w:style w:type="paragraph" w:customStyle="1" w:styleId="167">
    <w:name w:val="表格文字"/>
    <w:basedOn w:val="1"/>
    <w:next w:val="2"/>
    <w:qFormat/>
    <w:uiPriority w:val="0"/>
    <w:pPr>
      <w:widowControl w:val="0"/>
      <w:spacing w:before="25" w:after="25"/>
    </w:pPr>
    <w:rPr>
      <w:bCs/>
      <w:spacing w:val="10"/>
      <w:sz w:val="24"/>
    </w:rPr>
  </w:style>
  <w:style w:type="paragraph" w:customStyle="1" w:styleId="168">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9">
    <w:name w:val="正文缩近"/>
    <w:basedOn w:val="1"/>
    <w:qFormat/>
    <w:uiPriority w:val="0"/>
    <w:pPr>
      <w:widowControl w:val="0"/>
      <w:spacing w:line="360" w:lineRule="auto"/>
      <w:ind w:firstLine="200" w:firstLineChars="200"/>
      <w:jc w:val="both"/>
    </w:pPr>
    <w:rPr>
      <w:kern w:val="2"/>
      <w:sz w:val="24"/>
      <w:szCs w:val="24"/>
    </w:rPr>
  </w:style>
  <w:style w:type="paragraph" w:customStyle="1" w:styleId="170">
    <w:name w:val="列出段落3"/>
    <w:basedOn w:val="1"/>
    <w:qFormat/>
    <w:uiPriority w:val="99"/>
    <w:pPr>
      <w:widowControl w:val="0"/>
      <w:ind w:firstLine="420" w:firstLineChars="200"/>
      <w:jc w:val="both"/>
    </w:pPr>
    <w:rPr>
      <w:rFonts w:ascii="Calibri" w:hAnsi="Calibri"/>
      <w:kern w:val="2"/>
      <w:szCs w:val="22"/>
    </w:rPr>
  </w:style>
  <w:style w:type="paragraph" w:customStyle="1" w:styleId="171">
    <w:name w:val="标题 5（有编号）（绿盟科技）"/>
    <w:basedOn w:val="1"/>
    <w:next w:val="172"/>
    <w:qFormat/>
    <w:uiPriority w:val="99"/>
    <w:pPr>
      <w:keepNext/>
      <w:keepLines/>
      <w:numPr>
        <w:ilvl w:val="4"/>
        <w:numId w:val="1"/>
      </w:numPr>
      <w:tabs>
        <w:tab w:val="left" w:pos="0"/>
      </w:tabs>
      <w:spacing w:before="280" w:after="156" w:line="377" w:lineRule="auto"/>
      <w:outlineLvl w:val="4"/>
    </w:pPr>
    <w:rPr>
      <w:rFonts w:ascii="Arial" w:hAnsi="Arial" w:eastAsia="黑体"/>
      <w:b/>
      <w:kern w:val="0"/>
      <w:sz w:val="24"/>
      <w:szCs w:val="28"/>
    </w:rPr>
  </w:style>
  <w:style w:type="paragraph" w:customStyle="1" w:styleId="172">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1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5">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6">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_Style 119"/>
    <w:next w:val="1"/>
    <w:qFormat/>
    <w:uiPriority w:val="99"/>
    <w:rPr>
      <w:rFonts w:ascii="Times New Roman" w:hAnsi="Times New Roman" w:eastAsia="宋体" w:cs="Times New Roman"/>
      <w:sz w:val="21"/>
      <w:lang w:val="en-US" w:eastAsia="zh-CN" w:bidi="ar-SA"/>
    </w:rPr>
  </w:style>
  <w:style w:type="paragraph" w:customStyle="1" w:styleId="179">
    <w:name w:val="Char"/>
    <w:basedOn w:val="1"/>
    <w:qFormat/>
    <w:uiPriority w:val="0"/>
    <w:pPr>
      <w:spacing w:after="160" w:line="240" w:lineRule="exact"/>
    </w:pPr>
    <w:rPr>
      <w:rFonts w:ascii="Verdana" w:hAnsi="Verdana"/>
      <w:lang w:eastAsia="en-US"/>
    </w:rPr>
  </w:style>
  <w:style w:type="paragraph" w:customStyle="1" w:styleId="180">
    <w:name w:val="Char Char Char Char Char Char Char Char Char Char2"/>
    <w:basedOn w:val="1"/>
    <w:qFormat/>
    <w:uiPriority w:val="0"/>
    <w:pPr>
      <w:widowControl w:val="0"/>
      <w:jc w:val="both"/>
    </w:pPr>
    <w:rPr>
      <w:rFonts w:ascii="Tahoma" w:hAnsi="Tahoma"/>
      <w:kern w:val="2"/>
      <w:sz w:val="24"/>
    </w:rPr>
  </w:style>
  <w:style w:type="paragraph" w:customStyle="1" w:styleId="181">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82">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83">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84">
    <w:name w:val="样式1"/>
    <w:basedOn w:val="7"/>
    <w:qFormat/>
    <w:uiPriority w:val="0"/>
    <w:pPr>
      <w:tabs>
        <w:tab w:val="left" w:pos="420"/>
      </w:tabs>
      <w:ind w:left="420" w:hanging="420"/>
    </w:pPr>
    <w:rPr>
      <w:b/>
    </w:rPr>
  </w:style>
  <w:style w:type="paragraph" w:customStyle="1" w:styleId="185">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8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87">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88">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89">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styleId="190">
    <w:name w:val="List Paragraph"/>
    <w:basedOn w:val="1"/>
    <w:qFormat/>
    <w:uiPriority w:val="34"/>
    <w:pPr>
      <w:widowControl w:val="0"/>
      <w:ind w:firstLine="420" w:firstLineChars="200"/>
      <w:jc w:val="both"/>
    </w:pPr>
    <w:rPr>
      <w:rFonts w:ascii="Calibri" w:hAnsi="Calibri"/>
      <w:kern w:val="2"/>
      <w:szCs w:val="22"/>
    </w:rPr>
  </w:style>
  <w:style w:type="paragraph" w:customStyle="1" w:styleId="191">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92">
    <w:name w:val="List Paragraph1"/>
    <w:basedOn w:val="1"/>
    <w:qFormat/>
    <w:uiPriority w:val="99"/>
    <w:pPr>
      <w:widowControl w:val="0"/>
      <w:ind w:firstLine="420" w:firstLineChars="200"/>
      <w:jc w:val="both"/>
    </w:pPr>
    <w:rPr>
      <w:rFonts w:ascii="Calibri" w:hAnsi="Calibri"/>
      <w:kern w:val="2"/>
      <w:szCs w:val="22"/>
    </w:rPr>
  </w:style>
  <w:style w:type="paragraph" w:customStyle="1" w:styleId="193">
    <w:name w:val="Char Char Char Char Char Char Char Char Char Char1"/>
    <w:basedOn w:val="1"/>
    <w:qFormat/>
    <w:uiPriority w:val="99"/>
    <w:pPr>
      <w:widowControl w:val="0"/>
      <w:jc w:val="both"/>
    </w:pPr>
    <w:rPr>
      <w:rFonts w:ascii="Tahoma" w:hAnsi="Tahoma"/>
      <w:kern w:val="2"/>
      <w:sz w:val="24"/>
    </w:rPr>
  </w:style>
  <w:style w:type="paragraph" w:customStyle="1" w:styleId="19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95">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96">
    <w:name w:val="Char Char Char Char Char1 Char"/>
    <w:basedOn w:val="1"/>
    <w:qFormat/>
    <w:uiPriority w:val="99"/>
    <w:pPr>
      <w:widowControl w:val="0"/>
      <w:jc w:val="both"/>
    </w:pPr>
    <w:rPr>
      <w:rFonts w:ascii="Tahoma" w:hAnsi="Tahoma"/>
      <w:kern w:val="2"/>
      <w:sz w:val="24"/>
    </w:rPr>
  </w:style>
  <w:style w:type="paragraph" w:customStyle="1" w:styleId="197">
    <w:name w:val="f12pt1"/>
    <w:basedOn w:val="1"/>
    <w:qFormat/>
    <w:uiPriority w:val="0"/>
    <w:pPr>
      <w:spacing w:before="100" w:beforeAutospacing="1" w:after="100" w:afterAutospacing="1"/>
    </w:pPr>
    <w:rPr>
      <w:rFonts w:ascii="_GB2312" w:hAnsi="_GB2312"/>
      <w:color w:val="000000"/>
      <w:szCs w:val="21"/>
    </w:rPr>
  </w:style>
  <w:style w:type="paragraph" w:customStyle="1" w:styleId="198">
    <w:name w:val="Char1"/>
    <w:basedOn w:val="1"/>
    <w:qFormat/>
    <w:uiPriority w:val="99"/>
    <w:pPr>
      <w:widowControl w:val="0"/>
      <w:jc w:val="both"/>
    </w:pPr>
    <w:rPr>
      <w:kern w:val="2"/>
    </w:rPr>
  </w:style>
  <w:style w:type="paragraph" w:customStyle="1" w:styleId="199">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200">
    <w:name w:val="xl22"/>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01">
    <w:name w:val="font6"/>
    <w:basedOn w:val="1"/>
    <w:qFormat/>
    <w:uiPriority w:val="0"/>
    <w:pPr>
      <w:spacing w:before="100" w:beforeAutospacing="1" w:after="100" w:afterAutospacing="1"/>
    </w:pPr>
    <w:rPr>
      <w:sz w:val="24"/>
      <w:szCs w:val="24"/>
    </w:rPr>
  </w:style>
  <w:style w:type="paragraph" w:customStyle="1" w:styleId="202">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3">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204">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205">
    <w:name w:val="列出段落2"/>
    <w:basedOn w:val="1"/>
    <w:qFormat/>
    <w:uiPriority w:val="34"/>
    <w:pPr>
      <w:widowControl w:val="0"/>
      <w:ind w:firstLine="420" w:firstLineChars="200"/>
      <w:jc w:val="both"/>
    </w:pPr>
    <w:rPr>
      <w:kern w:val="2"/>
      <w:szCs w:val="24"/>
    </w:rPr>
  </w:style>
  <w:style w:type="paragraph" w:customStyle="1" w:styleId="2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0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09">
    <w:name w:val="_Style 209"/>
    <w:semiHidden/>
    <w:qFormat/>
    <w:uiPriority w:val="99"/>
    <w:rPr>
      <w:rFonts w:ascii="Times New Roman" w:hAnsi="Times New Roman" w:eastAsia="宋体" w:cs="Times New Roman"/>
      <w:sz w:val="21"/>
      <w:lang w:val="en-US" w:eastAsia="zh-CN" w:bidi="ar-SA"/>
    </w:rPr>
  </w:style>
  <w:style w:type="paragraph" w:customStyle="1" w:styleId="210">
    <w:name w:val="p0"/>
    <w:basedOn w:val="1"/>
    <w:qFormat/>
    <w:uiPriority w:val="0"/>
    <w:pPr>
      <w:jc w:val="both"/>
    </w:pPr>
    <w:rPr>
      <w:szCs w:val="21"/>
    </w:rPr>
  </w:style>
  <w:style w:type="paragraph" w:customStyle="1" w:styleId="211">
    <w:name w:val="表格"/>
    <w:basedOn w:val="1"/>
    <w:qFormat/>
    <w:uiPriority w:val="0"/>
    <w:pPr>
      <w:keepLines/>
      <w:spacing w:line="0" w:lineRule="atLeast"/>
      <w:ind w:firstLine="0"/>
      <w:jc w:val="center"/>
    </w:pPr>
    <w:rPr>
      <w:rFonts w:ascii="Calibri" w:hAnsi="Calibri" w:cs="宋体"/>
      <w:sz w:val="21"/>
    </w:rPr>
  </w:style>
  <w:style w:type="paragraph" w:customStyle="1" w:styleId="212">
    <w:name w:val="f12"/>
    <w:basedOn w:val="1"/>
    <w:qFormat/>
    <w:uiPriority w:val="0"/>
    <w:pPr>
      <w:spacing w:before="100" w:beforeAutospacing="1" w:after="100" w:afterAutospacing="1"/>
    </w:pPr>
    <w:rPr>
      <w:rFonts w:ascii="_GB2312" w:hAnsi="_GB2312"/>
      <w:color w:val="000000"/>
      <w:szCs w:val="21"/>
    </w:rPr>
  </w:style>
  <w:style w:type="paragraph" w:customStyle="1" w:styleId="213">
    <w:name w:val="表格内容"/>
    <w:basedOn w:val="1"/>
    <w:qFormat/>
    <w:uiPriority w:val="0"/>
    <w:pPr>
      <w:widowControl w:val="0"/>
      <w:suppressLineNumbers/>
      <w:suppressAutoHyphens/>
      <w:jc w:val="both"/>
    </w:pPr>
    <w:rPr>
      <w:kern w:val="1"/>
      <w:szCs w:val="24"/>
      <w:lang w:eastAsia="ar-SA"/>
    </w:rPr>
  </w:style>
  <w:style w:type="paragraph" w:customStyle="1" w:styleId="214">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15">
    <w:name w:val="xl25"/>
    <w:basedOn w:val="1"/>
    <w:qFormat/>
    <w:uiPriority w:val="0"/>
    <w:pPr>
      <w:spacing w:before="100" w:beforeAutospacing="1" w:after="100" w:afterAutospacing="1"/>
      <w:jc w:val="right"/>
    </w:pPr>
    <w:rPr>
      <w:sz w:val="24"/>
      <w:szCs w:val="24"/>
    </w:rPr>
  </w:style>
  <w:style w:type="paragraph" w:customStyle="1" w:styleId="216">
    <w:name w:val="f14"/>
    <w:basedOn w:val="1"/>
    <w:qFormat/>
    <w:uiPriority w:val="0"/>
    <w:pPr>
      <w:spacing w:before="100" w:beforeAutospacing="1" w:after="100" w:afterAutospacing="1"/>
    </w:pPr>
    <w:rPr>
      <w:rFonts w:ascii="_GB2312" w:hAnsi="_GB2312"/>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广东环境保护工程职业学院实验耗材采购项目（一稿）</Template>
  <Pages>48</Pages>
  <Words>20202</Words>
  <Characters>21023</Characters>
  <Lines>291</Lines>
  <Paragraphs>82</Paragraphs>
  <TotalTime>49</TotalTime>
  <ScaleCrop>false</ScaleCrop>
  <LinksUpToDate>false</LinksUpToDate>
  <CharactersWithSpaces>22092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2023-03-31T03:02:00Z</dcterms:created>
  <dc:creator>广东省机电设备招标有限公司</dc:creator>
  <cp:lastModifiedBy>HP</cp:lastModifiedBy>
  <cp:lastPrinted>2019-04-26T04:03:00Z</cp:lastPrinted>
  <dcterms:modified xsi:type="dcterms:W3CDTF">2025-05-19T08:59:42Z</dcterms:modified>
  <dc:title>网址：www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63D281BED1D94DEE87522FC9F8AD70C1</vt:lpwstr>
  </property>
  <property fmtid="{D5CDD505-2E9C-101B-9397-08002B2CF9AE}" pid="4" name="KSOTemplateDocerSaveRecord">
    <vt:lpwstr>eyJoZGlkIjoiNjZlMGJhZjQ3M2IyMzQ3M2FkNDk5NDVhMjBkOGY4ZjMiLCJ1c2VySWQiOiIzMjM1MzY1NDkifQ==</vt:lpwstr>
  </property>
</Properties>
</file>